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2F" w:rsidRPr="00C15F4B" w:rsidRDefault="007A2B2F" w:rsidP="007A2B2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9"/>
          <w:szCs w:val="19"/>
        </w:rPr>
      </w:pPr>
      <w:r w:rsidRPr="00C15F4B">
        <w:rPr>
          <w:rFonts w:ascii="Tahoma" w:hAnsi="Tahoma" w:cs="Tahoma"/>
          <w:b/>
          <w:sz w:val="19"/>
          <w:szCs w:val="19"/>
        </w:rPr>
        <w:t>Žilinská univerzita v Žiline, Fakulta riadenia a informatiky</w:t>
      </w:r>
    </w:p>
    <w:p w:rsidR="007A2B2F" w:rsidRPr="00C15F4B" w:rsidRDefault="007A2B2F" w:rsidP="007A2B2F">
      <w:pPr>
        <w:jc w:val="center"/>
        <w:rPr>
          <w:rFonts w:ascii="Tahoma" w:hAnsi="Tahoma" w:cs="Tahoma"/>
          <w:b/>
          <w:sz w:val="19"/>
          <w:szCs w:val="19"/>
        </w:rPr>
      </w:pPr>
      <w:r w:rsidRPr="00C15F4B">
        <w:rPr>
          <w:rFonts w:ascii="Tahoma" w:hAnsi="Tahoma" w:cs="Tahoma"/>
          <w:b/>
          <w:sz w:val="19"/>
          <w:szCs w:val="19"/>
        </w:rPr>
        <w:t>Predpis P_FRI_11</w:t>
      </w:r>
    </w:p>
    <w:p w:rsidR="007A2B2F" w:rsidRPr="00C15F4B" w:rsidRDefault="007A2B2F" w:rsidP="007A2B2F">
      <w:pPr>
        <w:pStyle w:val="Heading1"/>
        <w:numPr>
          <w:ilvl w:val="0"/>
          <w:numId w:val="0"/>
        </w:numPr>
        <w:rPr>
          <w:rFonts w:ascii="Tahoma" w:hAnsi="Tahoma" w:cs="Tahoma"/>
          <w:bCs w:val="0"/>
          <w:sz w:val="19"/>
          <w:szCs w:val="19"/>
        </w:rPr>
      </w:pPr>
      <w:r w:rsidRPr="00C15F4B">
        <w:rPr>
          <w:rFonts w:ascii="Tahoma" w:hAnsi="Tahoma" w:cs="Tahoma"/>
          <w:bCs w:val="0"/>
          <w:sz w:val="19"/>
          <w:szCs w:val="19"/>
        </w:rPr>
        <w:t>Všeobecné kritériá na obsadzovanie funk</w:t>
      </w:r>
      <w:r w:rsidRPr="00C15F4B">
        <w:rPr>
          <w:rFonts w:ascii="Tahoma,Bold" w:hAnsi="Tahoma,Bold" w:cs="Tahoma,Bold"/>
          <w:bCs w:val="0"/>
          <w:sz w:val="19"/>
          <w:szCs w:val="19"/>
        </w:rPr>
        <w:t>č</w:t>
      </w:r>
      <w:r w:rsidRPr="00C15F4B">
        <w:rPr>
          <w:rFonts w:ascii="Tahoma" w:hAnsi="Tahoma" w:cs="Tahoma"/>
          <w:bCs w:val="0"/>
          <w:sz w:val="19"/>
          <w:szCs w:val="19"/>
        </w:rPr>
        <w:t>ných miest profesorov a docentov</w:t>
      </w:r>
    </w:p>
    <w:p w:rsidR="007A2B2F" w:rsidRPr="00C15F4B" w:rsidRDefault="007A2B2F" w:rsidP="007A2B2F">
      <w:pPr>
        <w:autoSpaceDE w:val="0"/>
        <w:autoSpaceDN w:val="0"/>
        <w:adjustRightInd w:val="0"/>
        <w:rPr>
          <w:rFonts w:ascii="Tahoma" w:hAnsi="Tahoma" w:cs="Tahoma"/>
          <w:b/>
          <w:bCs/>
          <w:sz w:val="19"/>
          <w:szCs w:val="19"/>
        </w:rPr>
      </w:pPr>
    </w:p>
    <w:p w:rsidR="007A2B2F" w:rsidRPr="00C15F4B" w:rsidRDefault="007A2B2F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 xml:space="preserve">(1) Tento </w:t>
      </w:r>
      <w:r w:rsidR="00C7425A" w:rsidRPr="00C15F4B">
        <w:rPr>
          <w:rFonts w:ascii="Tahoma" w:hAnsi="Tahoma" w:cs="Tahoma"/>
          <w:sz w:val="19"/>
          <w:szCs w:val="19"/>
        </w:rPr>
        <w:t>predpis</w:t>
      </w:r>
      <w:r w:rsidRPr="00C15F4B">
        <w:rPr>
          <w:rFonts w:ascii="Tahoma" w:hAnsi="Tahoma" w:cs="Tahoma"/>
          <w:sz w:val="19"/>
          <w:szCs w:val="19"/>
        </w:rPr>
        <w:t xml:space="preserve"> určuje v zmysle ustanovenia § 30 ods. 1 písm. h) zákona č. 131/2000 Z. z. </w:t>
      </w:r>
      <w:r w:rsidRPr="00C15F4B">
        <w:t>a o zmene a doplnení niektorých zákono</w:t>
      </w:r>
      <w:r w:rsidR="00F34BF6" w:rsidRPr="00C15F4B">
        <w:t xml:space="preserve">v v znení neskorších predpisov </w:t>
      </w:r>
      <w:r w:rsidRPr="00C15F4B">
        <w:t xml:space="preserve"> </w:t>
      </w:r>
      <w:r w:rsidRPr="00C15F4B">
        <w:rPr>
          <w:rFonts w:ascii="Tahoma" w:hAnsi="Tahoma" w:cs="Tahoma"/>
          <w:sz w:val="19"/>
          <w:szCs w:val="19"/>
        </w:rPr>
        <w:t>(ďalej</w:t>
      </w:r>
      <w:r w:rsidR="00F34BF6" w:rsidRPr="00C15F4B">
        <w:rPr>
          <w:rFonts w:ascii="Tahoma" w:hAnsi="Tahoma" w:cs="Tahoma"/>
          <w:sz w:val="19"/>
          <w:szCs w:val="19"/>
        </w:rPr>
        <w:t xml:space="preserve"> </w:t>
      </w:r>
      <w:r w:rsidRPr="00C15F4B">
        <w:rPr>
          <w:rFonts w:ascii="Tahoma" w:hAnsi="Tahoma" w:cs="Tahoma"/>
          <w:sz w:val="19"/>
          <w:szCs w:val="19"/>
        </w:rPr>
        <w:t>len „zákon“) všeobecné kritériá na obsadzovanie funkčných miest profesorov a docentov na Fakulte</w:t>
      </w:r>
      <w:r w:rsidR="00F34BF6" w:rsidRPr="00C15F4B">
        <w:rPr>
          <w:rFonts w:ascii="Tahoma" w:hAnsi="Tahoma" w:cs="Tahoma"/>
          <w:sz w:val="19"/>
          <w:szCs w:val="19"/>
        </w:rPr>
        <w:t xml:space="preserve"> </w:t>
      </w:r>
      <w:r w:rsidRPr="00C15F4B">
        <w:rPr>
          <w:rFonts w:ascii="Tahoma" w:hAnsi="Tahoma" w:cs="Tahoma"/>
          <w:sz w:val="19"/>
          <w:szCs w:val="19"/>
        </w:rPr>
        <w:t>riadenia a informatiky Žilinskej univerzity v Žiline.</w:t>
      </w:r>
    </w:p>
    <w:p w:rsidR="007A2B2F" w:rsidRPr="00C15F4B" w:rsidRDefault="007A2B2F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(2) Funkčné miesta profesorov a docentov sa obsadzujú v súlade s § 75, § 76 a § 77 zákona.</w:t>
      </w:r>
    </w:p>
    <w:p w:rsidR="007A2B2F" w:rsidRPr="00C15F4B" w:rsidRDefault="007A2B2F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(3) Kvalifikačným predpokladom na vykonávanie funkcie profesora je vedecko-pedagogický titul</w:t>
      </w:r>
    </w:p>
    <w:p w:rsidR="007A2B2F" w:rsidRPr="00C15F4B" w:rsidRDefault="007A2B2F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v študijnom odbore, na ktorý sa funkcia viaže, alebo v príbuznom študijnom odbore.</w:t>
      </w:r>
    </w:p>
    <w:p w:rsidR="007A2B2F" w:rsidRPr="00C15F4B" w:rsidRDefault="007A2B2F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(4) Pri obsadzovaní funkčných miest profesorov sa ďalej posudzujú: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a) pedagogická činnosť (pedagogická prax v odbore, výchova doktorandov, tvorba a účasť na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tvorbe koncepcií vzdelávacích systémov a študijných programov a ďalšie pedagogické aktivity na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celoštátnej a medzinárodnej úrovni),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b) vedecko-výskumná činnosť (vedenie alebo účasť na riešení vedecko-výskumných projektov,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pôsobenie vo vedeckých, vedecko-technických a odborných inštitúciách a ďalšie vedecko-výskumné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aktivity na celoštátnej a medzinárodnej úrovni),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c) schopnosť prevziať zodpovednosť za výskum a vzdelávanie v príslušnom študijnom odbore, na ktorý sa funkcia profesora viaže,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d) schopnosť prispievať svojou výsku</w:t>
      </w:r>
      <w:r w:rsidR="001C408F" w:rsidRPr="00C15F4B">
        <w:rPr>
          <w:rFonts w:ascii="Tahoma" w:hAnsi="Tahoma" w:cs="Tahoma"/>
          <w:sz w:val="19"/>
          <w:szCs w:val="19"/>
        </w:rPr>
        <w:t>mnou, vývojovou alebo</w:t>
      </w:r>
      <w:r w:rsidRPr="00C15F4B">
        <w:rPr>
          <w:rFonts w:ascii="Tahoma" w:hAnsi="Tahoma" w:cs="Tahoma"/>
          <w:sz w:val="19"/>
          <w:szCs w:val="19"/>
        </w:rPr>
        <w:t xml:space="preserve"> pedagogickou a organizačnou činnosťou k rozvoju poznania v tomto študijnom odbore a k objasňovaniu vzťahov s ostatnými študijnými odbormi, </w:t>
      </w:r>
    </w:p>
    <w:p w:rsidR="007A2B2F" w:rsidRPr="00C15F4B" w:rsidRDefault="007A2B2F" w:rsidP="007A2B2F">
      <w:pPr>
        <w:pStyle w:val="Bullet"/>
        <w:numPr>
          <w:ilvl w:val="0"/>
          <w:numId w:val="0"/>
        </w:numPr>
        <w:spacing w:after="120"/>
        <w:ind w:left="720" w:hanging="12"/>
        <w:rPr>
          <w:rFonts w:ascii="Tahoma" w:eastAsia="Calibri" w:hAnsi="Tahoma" w:cs="Tahoma"/>
          <w:sz w:val="19"/>
          <w:szCs w:val="19"/>
        </w:rPr>
      </w:pPr>
      <w:r w:rsidRPr="00C15F4B">
        <w:rPr>
          <w:rFonts w:ascii="Tahoma" w:eastAsia="Calibri" w:hAnsi="Tahoma" w:cs="Tahoma"/>
          <w:sz w:val="19"/>
          <w:szCs w:val="19"/>
        </w:rPr>
        <w:t>e) schopnosť garantovať alebo zúčastňovať sa na garantovaní kvality a rozvoja študijného programu, ktorý fakulta uskutočňuje,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f) publikačná činnosť (monografie, učebnice, vedecké štúdie v domácich a zahraničných vedeckých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časopisoch a zborníkoch, aktívna účasť na domácich a zahraničných konferenciách a odborných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podujatiach),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g) ďalšie relevantné skutočnosti (medzinárodné uznanie, aktívna znalosť cudzích jazykov apod.),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h) aktívne pôsobenie v oblasti študijného odboru v posled</w:t>
      </w:r>
      <w:r w:rsidRPr="00C15F4B">
        <w:rPr>
          <w:rFonts w:ascii="Tahoma" w:hAnsi="Tahoma" w:cs="Tahoma"/>
          <w:sz w:val="19"/>
          <w:szCs w:val="19"/>
        </w:rPr>
        <w:softHyphen/>
        <w:t xml:space="preserve">ných 5 rokoch, 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i) morálna a spoločenská bezúhonnosť.</w:t>
      </w:r>
    </w:p>
    <w:p w:rsidR="007A2B2F" w:rsidRPr="00C15F4B" w:rsidRDefault="007A2B2F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(5) Kvalifikačným predpokladom na vykonávanie funkcie docenta je vedecko-pedagogický titul</w:t>
      </w:r>
    </w:p>
    <w:p w:rsidR="007A2B2F" w:rsidRPr="00C15F4B" w:rsidRDefault="007A2B2F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„docent“ v študijnom odbore, na ktorý sa funkcia viaže, alebo v príbuznom študijnom odbore.</w:t>
      </w:r>
    </w:p>
    <w:p w:rsidR="007A2B2F" w:rsidRPr="00C15F4B" w:rsidRDefault="007A2B2F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lastRenderedPageBreak/>
        <w:t>(6) Pri obsadzovaní funkčných miest docentov sa ďalej posudzujú: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a) pedagogická činnosť (pedagogická prax v odbore, účasť na tvorbe koncepcií vzdelávacích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systémov, študijných programov a predmetov a ďalšie pedagogické aktivity na celoštátnej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a medzinárodnej úrovni),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b) vedecko-výskumná činnosť (vedenie alebo účasť na riešení vedecko-výskumných projektov,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pôsobenie vo vedeckých, vedecko-technických a odborných inštitúciách a ďalšie vedecko-výskumné</w:t>
      </w:r>
      <w:r w:rsidR="00504ADE" w:rsidRPr="00C15F4B">
        <w:rPr>
          <w:rFonts w:ascii="Tahoma" w:hAnsi="Tahoma" w:cs="Tahoma"/>
          <w:sz w:val="19"/>
          <w:szCs w:val="19"/>
        </w:rPr>
        <w:t xml:space="preserve"> </w:t>
      </w:r>
      <w:r w:rsidRPr="00C15F4B">
        <w:rPr>
          <w:rFonts w:ascii="Tahoma" w:hAnsi="Tahoma" w:cs="Tahoma"/>
          <w:sz w:val="19"/>
          <w:szCs w:val="19"/>
        </w:rPr>
        <w:t>aktivity na celoštátnej a medzinárodnej úrovni),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c) publikačná činnosť (monografie, učebnice, vedecké štúdie v domácich a zahraničných vedeckých</w:t>
      </w:r>
      <w:r w:rsidR="00504ADE" w:rsidRPr="00C15F4B">
        <w:rPr>
          <w:rFonts w:ascii="Tahoma" w:hAnsi="Tahoma" w:cs="Tahoma"/>
          <w:sz w:val="19"/>
          <w:szCs w:val="19"/>
        </w:rPr>
        <w:t xml:space="preserve"> </w:t>
      </w:r>
      <w:r w:rsidRPr="00C15F4B">
        <w:rPr>
          <w:rFonts w:ascii="Tahoma" w:hAnsi="Tahoma" w:cs="Tahoma"/>
          <w:sz w:val="19"/>
          <w:szCs w:val="19"/>
        </w:rPr>
        <w:t>časopisoch a zborníkoch, aktívna účasť na domácich a zahraničných konferenciách a</w:t>
      </w:r>
      <w:r w:rsidR="00504ADE" w:rsidRPr="00C15F4B">
        <w:rPr>
          <w:rFonts w:ascii="Tahoma" w:hAnsi="Tahoma" w:cs="Tahoma"/>
          <w:sz w:val="19"/>
          <w:szCs w:val="19"/>
        </w:rPr>
        <w:t> </w:t>
      </w:r>
      <w:r w:rsidRPr="00C15F4B">
        <w:rPr>
          <w:rFonts w:ascii="Tahoma" w:hAnsi="Tahoma" w:cs="Tahoma"/>
          <w:sz w:val="19"/>
          <w:szCs w:val="19"/>
        </w:rPr>
        <w:t>odborných</w:t>
      </w:r>
      <w:r w:rsidR="00504ADE" w:rsidRPr="00C15F4B">
        <w:rPr>
          <w:rFonts w:ascii="Tahoma" w:hAnsi="Tahoma" w:cs="Tahoma"/>
          <w:sz w:val="19"/>
          <w:szCs w:val="19"/>
        </w:rPr>
        <w:t xml:space="preserve"> </w:t>
      </w:r>
      <w:r w:rsidRPr="00C15F4B">
        <w:rPr>
          <w:rFonts w:ascii="Tahoma" w:hAnsi="Tahoma" w:cs="Tahoma"/>
          <w:sz w:val="19"/>
          <w:szCs w:val="19"/>
        </w:rPr>
        <w:t>podujatiach),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d) ďalšie relevantné skutočnosti (medzinárodné uznanie, aktívna znalosť cudzích jazykov apod.),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e) schopnosť prispievať v spolupráci s profesorom na tento študijný odbor svojou výskumnou, vývojovou alebo umeleckou, pedagogickou a organizačnou činnosťou k rozvoju poznania v tomto študijnom odbore,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f) schopnosť garantovať alebo zúčastňovať sa na garantovaní kvality a rozvoja bakalárskeho študijného programu, ktorý fakulta uskutočňuje</w:t>
      </w:r>
      <w:r w:rsidR="00504ADE" w:rsidRPr="00C15F4B">
        <w:rPr>
          <w:rFonts w:ascii="Tahoma" w:hAnsi="Tahoma" w:cs="Tahoma"/>
          <w:sz w:val="19"/>
          <w:szCs w:val="19"/>
        </w:rPr>
        <w:t>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g) schopnosť zúčastňovať sa na garantovaní kvality a rozvoja inžinierskeho študijného programu, ktorý fakulta uskutočňuje,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h)aktívne pôsobenie v oblasti v oblasti študijného odboru v posled</w:t>
      </w:r>
      <w:r w:rsidRPr="00C15F4B">
        <w:rPr>
          <w:rFonts w:ascii="Tahoma" w:hAnsi="Tahoma" w:cs="Tahoma"/>
          <w:sz w:val="19"/>
          <w:szCs w:val="19"/>
        </w:rPr>
        <w:softHyphen/>
        <w:t>ných 4 rokoch,</w:t>
      </w:r>
    </w:p>
    <w:p w:rsidR="007A2B2F" w:rsidRPr="00C15F4B" w:rsidRDefault="007A2B2F" w:rsidP="007A2B2F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i) morálna a občianska bezúhonnosť.</w:t>
      </w:r>
    </w:p>
    <w:p w:rsidR="007A2B2F" w:rsidRPr="00C15F4B" w:rsidRDefault="007A2B2F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 xml:space="preserve">(7) Fakulta riadenia a informatiky  si pre obsadzovanie </w:t>
      </w:r>
      <w:r w:rsidR="00D92ADB" w:rsidRPr="00C15F4B">
        <w:rPr>
          <w:rFonts w:ascii="Tahoma" w:hAnsi="Tahoma" w:cs="Tahoma"/>
          <w:sz w:val="19"/>
          <w:szCs w:val="19"/>
        </w:rPr>
        <w:t xml:space="preserve">funkčných miest </w:t>
      </w:r>
      <w:r w:rsidRPr="00C15F4B">
        <w:rPr>
          <w:rFonts w:ascii="Tahoma" w:hAnsi="Tahoma" w:cs="Tahoma"/>
          <w:sz w:val="19"/>
          <w:szCs w:val="19"/>
        </w:rPr>
        <w:t xml:space="preserve">profesorov a docentov na fakulte stanovila konkrétne podmienky výberového konania, ktoré </w:t>
      </w:r>
      <w:r w:rsidR="005B291F" w:rsidRPr="00C15F4B">
        <w:rPr>
          <w:rFonts w:ascii="Tahoma" w:hAnsi="Tahoma" w:cs="Tahoma"/>
          <w:sz w:val="19"/>
          <w:szCs w:val="19"/>
        </w:rPr>
        <w:t xml:space="preserve">primerane </w:t>
      </w:r>
      <w:r w:rsidRPr="00C15F4B">
        <w:rPr>
          <w:rFonts w:ascii="Tahoma" w:hAnsi="Tahoma" w:cs="Tahoma"/>
          <w:sz w:val="19"/>
          <w:szCs w:val="19"/>
        </w:rPr>
        <w:t xml:space="preserve">vychádzajú z kritérií pre vymenovanie profesorov, resp. habilitáciu docentov v príslušnom študijnom odbore ako minimálne požiadavky pre obsadenie funkcie profesor, resp. docent. </w:t>
      </w:r>
    </w:p>
    <w:p w:rsidR="007A2B2F" w:rsidRPr="00C15F4B" w:rsidRDefault="007A2B2F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>(8)Tieto kritériá prerokoval</w:t>
      </w:r>
      <w:r w:rsidR="004C68FB" w:rsidRPr="00C15F4B">
        <w:rPr>
          <w:rFonts w:ascii="Tahoma" w:hAnsi="Tahoma" w:cs="Tahoma"/>
          <w:sz w:val="19"/>
          <w:szCs w:val="19"/>
        </w:rPr>
        <w:t xml:space="preserve"> akademický senát Fakulty riadenia a informatiky dňa 17.4.2014 a </w:t>
      </w:r>
      <w:r w:rsidRPr="00C15F4B">
        <w:rPr>
          <w:rFonts w:ascii="Tahoma" w:hAnsi="Tahoma" w:cs="Tahoma"/>
          <w:sz w:val="19"/>
          <w:szCs w:val="19"/>
        </w:rPr>
        <w:t>vedecká rada Fakulty riadenia a informatiky dňa 1</w:t>
      </w:r>
      <w:r w:rsidR="004C68FB" w:rsidRPr="00C15F4B">
        <w:rPr>
          <w:rFonts w:ascii="Tahoma" w:hAnsi="Tahoma" w:cs="Tahoma"/>
          <w:sz w:val="19"/>
          <w:szCs w:val="19"/>
        </w:rPr>
        <w:t>5</w:t>
      </w:r>
      <w:r w:rsidRPr="00C15F4B">
        <w:rPr>
          <w:rFonts w:ascii="Tahoma" w:hAnsi="Tahoma" w:cs="Tahoma"/>
          <w:sz w:val="19"/>
          <w:szCs w:val="19"/>
        </w:rPr>
        <w:t>.</w:t>
      </w:r>
      <w:r w:rsidR="004C68FB" w:rsidRPr="00C15F4B">
        <w:rPr>
          <w:rFonts w:ascii="Tahoma" w:hAnsi="Tahoma" w:cs="Tahoma"/>
          <w:sz w:val="19"/>
          <w:szCs w:val="19"/>
        </w:rPr>
        <w:t>5</w:t>
      </w:r>
      <w:r w:rsidRPr="00C15F4B">
        <w:rPr>
          <w:rFonts w:ascii="Tahoma" w:hAnsi="Tahoma" w:cs="Tahoma"/>
          <w:sz w:val="19"/>
          <w:szCs w:val="19"/>
        </w:rPr>
        <w:t>.2</w:t>
      </w:r>
      <w:r w:rsidR="004C68FB" w:rsidRPr="00C15F4B">
        <w:rPr>
          <w:rFonts w:ascii="Tahoma" w:hAnsi="Tahoma" w:cs="Tahoma"/>
          <w:sz w:val="19"/>
          <w:szCs w:val="19"/>
        </w:rPr>
        <w:t>014</w:t>
      </w:r>
      <w:r w:rsidRPr="00C15F4B">
        <w:rPr>
          <w:rFonts w:ascii="Tahoma" w:hAnsi="Tahoma" w:cs="Tahoma"/>
          <w:sz w:val="19"/>
          <w:szCs w:val="19"/>
        </w:rPr>
        <w:t xml:space="preserve"> v</w:t>
      </w:r>
      <w:r w:rsidR="004C68FB" w:rsidRPr="00C15F4B">
        <w:rPr>
          <w:rFonts w:ascii="Tahoma" w:hAnsi="Tahoma" w:cs="Tahoma"/>
          <w:sz w:val="19"/>
          <w:szCs w:val="19"/>
        </w:rPr>
        <w:t> </w:t>
      </w:r>
      <w:r w:rsidRPr="00C15F4B">
        <w:rPr>
          <w:rFonts w:ascii="Tahoma" w:hAnsi="Tahoma" w:cs="Tahoma"/>
          <w:sz w:val="19"/>
          <w:szCs w:val="19"/>
        </w:rPr>
        <w:t>zmysle</w:t>
      </w:r>
      <w:r w:rsidR="004C68FB" w:rsidRPr="00C15F4B">
        <w:rPr>
          <w:rFonts w:ascii="Tahoma" w:hAnsi="Tahoma" w:cs="Tahoma"/>
          <w:sz w:val="19"/>
          <w:szCs w:val="19"/>
        </w:rPr>
        <w:t xml:space="preserve"> </w:t>
      </w:r>
      <w:r w:rsidRPr="00C15F4B">
        <w:rPr>
          <w:rFonts w:ascii="Tahoma" w:hAnsi="Tahoma" w:cs="Tahoma"/>
          <w:sz w:val="19"/>
          <w:szCs w:val="19"/>
        </w:rPr>
        <w:t>ustanovenia § 5 ods. 6 rokovacieho poriadku a v zmysle ustanovenia § 30 ods. 1 písm. h) zákona ich</w:t>
      </w:r>
      <w:r w:rsidR="004C68FB" w:rsidRPr="00C15F4B">
        <w:rPr>
          <w:rFonts w:ascii="Tahoma" w:hAnsi="Tahoma" w:cs="Tahoma"/>
          <w:sz w:val="19"/>
          <w:szCs w:val="19"/>
        </w:rPr>
        <w:t xml:space="preserve"> </w:t>
      </w:r>
      <w:r w:rsidRPr="00C15F4B">
        <w:rPr>
          <w:rFonts w:ascii="Tahoma" w:hAnsi="Tahoma" w:cs="Tahoma"/>
          <w:sz w:val="19"/>
          <w:szCs w:val="19"/>
        </w:rPr>
        <w:t>predložila vedeckej rade Žilinskej univerzity.</w:t>
      </w:r>
      <w:r w:rsidR="00AD5E66" w:rsidRPr="00C15F4B">
        <w:rPr>
          <w:rFonts w:ascii="Tahoma" w:hAnsi="Tahoma" w:cs="Tahoma"/>
          <w:sz w:val="19"/>
          <w:szCs w:val="19"/>
        </w:rPr>
        <w:t xml:space="preserve"> Kritériá boli schvále</w:t>
      </w:r>
      <w:r w:rsidR="005B291F" w:rsidRPr="00C15F4B">
        <w:rPr>
          <w:rFonts w:ascii="Tahoma" w:hAnsi="Tahoma" w:cs="Tahoma"/>
          <w:sz w:val="19"/>
          <w:szCs w:val="19"/>
        </w:rPr>
        <w:t xml:space="preserve">né Vedeckou radou ŽU dňa </w:t>
      </w:r>
      <w:r w:rsidR="004C68FB" w:rsidRPr="00C15F4B">
        <w:rPr>
          <w:rFonts w:ascii="Tahoma" w:hAnsi="Tahoma" w:cs="Tahoma"/>
          <w:sz w:val="19"/>
          <w:szCs w:val="19"/>
        </w:rPr>
        <w:t>22</w:t>
      </w:r>
      <w:r w:rsidR="005B291F" w:rsidRPr="00C15F4B">
        <w:rPr>
          <w:rFonts w:ascii="Tahoma" w:hAnsi="Tahoma" w:cs="Tahoma"/>
          <w:sz w:val="19"/>
          <w:szCs w:val="19"/>
        </w:rPr>
        <w:t>.</w:t>
      </w:r>
      <w:r w:rsidR="004C68FB" w:rsidRPr="00C15F4B">
        <w:rPr>
          <w:rFonts w:ascii="Tahoma" w:hAnsi="Tahoma" w:cs="Tahoma"/>
          <w:sz w:val="19"/>
          <w:szCs w:val="19"/>
        </w:rPr>
        <w:t>5</w:t>
      </w:r>
      <w:r w:rsidR="005B291F" w:rsidRPr="00C15F4B">
        <w:rPr>
          <w:rFonts w:ascii="Tahoma" w:hAnsi="Tahoma" w:cs="Tahoma"/>
          <w:sz w:val="19"/>
          <w:szCs w:val="19"/>
        </w:rPr>
        <w:t>.2014</w:t>
      </w:r>
      <w:r w:rsidR="00AD5E66" w:rsidRPr="00C15F4B">
        <w:rPr>
          <w:rFonts w:ascii="Tahoma" w:hAnsi="Tahoma" w:cs="Tahoma"/>
          <w:sz w:val="19"/>
          <w:szCs w:val="19"/>
        </w:rPr>
        <w:t>.</w:t>
      </w:r>
    </w:p>
    <w:p w:rsidR="008C75FD" w:rsidRPr="00C15F4B" w:rsidRDefault="008C75FD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:rsidR="008C75FD" w:rsidRPr="00C15F4B" w:rsidRDefault="008C75FD" w:rsidP="007A2B2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:rsidR="008C75FD" w:rsidRPr="00C15F4B" w:rsidRDefault="008C75FD" w:rsidP="008C75FD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:rsidR="008C75FD" w:rsidRPr="00C15F4B" w:rsidRDefault="008C75FD" w:rsidP="008C75FD">
      <w:pPr>
        <w:tabs>
          <w:tab w:val="center" w:pos="6804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ab/>
        <w:t>doc. Ing. Emil KRŠÁK, PhD.</w:t>
      </w:r>
    </w:p>
    <w:p w:rsidR="008C75FD" w:rsidRDefault="008C75FD" w:rsidP="008C75FD">
      <w:pPr>
        <w:tabs>
          <w:tab w:val="center" w:pos="6804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15F4B">
        <w:rPr>
          <w:rFonts w:ascii="Tahoma" w:hAnsi="Tahoma" w:cs="Tahoma"/>
          <w:sz w:val="19"/>
          <w:szCs w:val="19"/>
        </w:rPr>
        <w:tab/>
        <w:t>dekan a predseda vedeckej rady FRI</w:t>
      </w:r>
      <w:bookmarkStart w:id="0" w:name="_GoBack"/>
      <w:bookmarkEnd w:id="0"/>
    </w:p>
    <w:p w:rsidR="00C95B8F" w:rsidRPr="007A2B2F" w:rsidRDefault="00C95B8F" w:rsidP="007A2B2F"/>
    <w:sectPr w:rsidR="00C95B8F" w:rsidRPr="007A2B2F" w:rsidSect="007A2B2F">
      <w:pgSz w:w="11904" w:h="16836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A28"/>
    <w:multiLevelType w:val="hybridMultilevel"/>
    <w:tmpl w:val="DBCCC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461C"/>
    <w:multiLevelType w:val="hybridMultilevel"/>
    <w:tmpl w:val="9432EBFE"/>
    <w:lvl w:ilvl="0" w:tplc="1D82733A">
      <w:start w:val="1"/>
      <w:numFmt w:val="bullet"/>
      <w:pStyle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D757C"/>
    <w:multiLevelType w:val="hybridMultilevel"/>
    <w:tmpl w:val="F46C6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03E3"/>
    <w:multiLevelType w:val="hybridMultilevel"/>
    <w:tmpl w:val="BBD68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95702"/>
    <w:multiLevelType w:val="multilevel"/>
    <w:tmpl w:val="3AFE8772"/>
    <w:lvl w:ilvl="0">
      <w:start w:val="1"/>
      <w:numFmt w:val="none"/>
      <w:pStyle w:val="Heading1"/>
      <w:suff w:val="space"/>
      <w:lvlText w:val="%1   "/>
      <w:lvlJc w:val="left"/>
      <w:pPr>
        <w:ind w:left="360" w:hanging="360"/>
      </w:pPr>
    </w:lvl>
    <w:lvl w:ilvl="1">
      <w:start w:val="1"/>
      <w:numFmt w:val="decimal"/>
      <w:lvlRestart w:val="0"/>
      <w:pStyle w:val="Heading2"/>
      <w:lvlText w:val="%1%2   "/>
      <w:lvlJc w:val="left"/>
      <w:pPr>
        <w:tabs>
          <w:tab w:val="num" w:pos="1080"/>
        </w:tabs>
        <w:ind w:left="680" w:hanging="680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907"/>
        </w:tabs>
        <w:ind w:left="907" w:hanging="907"/>
      </w:p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948"/>
        </w:tabs>
        <w:ind w:left="1644" w:hanging="56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7F"/>
    <w:rsid w:val="00003CC4"/>
    <w:rsid w:val="000501E0"/>
    <w:rsid w:val="00064DCF"/>
    <w:rsid w:val="00067C22"/>
    <w:rsid w:val="001157B9"/>
    <w:rsid w:val="00161EC8"/>
    <w:rsid w:val="001C408F"/>
    <w:rsid w:val="0023271A"/>
    <w:rsid w:val="00275A18"/>
    <w:rsid w:val="00294113"/>
    <w:rsid w:val="002D4D8C"/>
    <w:rsid w:val="00352AA6"/>
    <w:rsid w:val="003742FE"/>
    <w:rsid w:val="00392955"/>
    <w:rsid w:val="00414C36"/>
    <w:rsid w:val="004C68FB"/>
    <w:rsid w:val="004F2173"/>
    <w:rsid w:val="00504ADE"/>
    <w:rsid w:val="00526935"/>
    <w:rsid w:val="005B291F"/>
    <w:rsid w:val="005C4FCE"/>
    <w:rsid w:val="00610122"/>
    <w:rsid w:val="00683FFF"/>
    <w:rsid w:val="006C28B7"/>
    <w:rsid w:val="006C590E"/>
    <w:rsid w:val="007533D2"/>
    <w:rsid w:val="007A2975"/>
    <w:rsid w:val="007A2B2F"/>
    <w:rsid w:val="007E3BC2"/>
    <w:rsid w:val="00874434"/>
    <w:rsid w:val="008C75FD"/>
    <w:rsid w:val="00985C5F"/>
    <w:rsid w:val="009A1B7F"/>
    <w:rsid w:val="00A83403"/>
    <w:rsid w:val="00AA7E63"/>
    <w:rsid w:val="00AD5E66"/>
    <w:rsid w:val="00B66898"/>
    <w:rsid w:val="00BA58D7"/>
    <w:rsid w:val="00C15F4B"/>
    <w:rsid w:val="00C7425A"/>
    <w:rsid w:val="00C75AA5"/>
    <w:rsid w:val="00C90707"/>
    <w:rsid w:val="00C95B8F"/>
    <w:rsid w:val="00D0619C"/>
    <w:rsid w:val="00D92ADB"/>
    <w:rsid w:val="00DC50B3"/>
    <w:rsid w:val="00E21C7B"/>
    <w:rsid w:val="00E71C46"/>
    <w:rsid w:val="00EC2210"/>
    <w:rsid w:val="00F34BF6"/>
    <w:rsid w:val="00F44CF8"/>
    <w:rsid w:val="00F45E43"/>
    <w:rsid w:val="00F643F4"/>
    <w:rsid w:val="00FD43D7"/>
    <w:rsid w:val="00FE73C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8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5E43"/>
    <w:pPr>
      <w:keepNext/>
      <w:numPr>
        <w:numId w:val="2"/>
      </w:numPr>
      <w:spacing w:after="6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45E43"/>
    <w:pPr>
      <w:keepNext/>
      <w:numPr>
        <w:ilvl w:val="1"/>
        <w:numId w:val="2"/>
      </w:numPr>
      <w:tabs>
        <w:tab w:val="left" w:pos="680"/>
      </w:tabs>
      <w:spacing w:before="360" w:after="120" w:line="240" w:lineRule="auto"/>
      <w:outlineLvl w:val="1"/>
    </w:pPr>
    <w:rPr>
      <w:rFonts w:ascii="Arial" w:eastAsia="Times New Roman" w:hAnsi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45E43"/>
    <w:pPr>
      <w:keepNext/>
      <w:numPr>
        <w:ilvl w:val="2"/>
        <w:numId w:val="2"/>
      </w:numPr>
      <w:spacing w:before="360" w:after="60" w:line="240" w:lineRule="auto"/>
      <w:jc w:val="both"/>
      <w:outlineLvl w:val="2"/>
    </w:pPr>
    <w:rPr>
      <w:rFonts w:ascii="Arial" w:eastAsia="Times New Roman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F45E4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ing1Char">
    <w:name w:val="Heading 1 Char"/>
    <w:link w:val="Heading1"/>
    <w:rsid w:val="00F45E43"/>
    <w:rPr>
      <w:rFonts w:ascii="Arial" w:eastAsia="Times New Roman" w:hAnsi="Arial" w:cs="Arial"/>
      <w:b/>
      <w:bCs/>
      <w:sz w:val="40"/>
      <w:szCs w:val="24"/>
      <w:lang w:eastAsia="en-US"/>
    </w:rPr>
  </w:style>
  <w:style w:type="character" w:customStyle="1" w:styleId="Heading2Char">
    <w:name w:val="Heading 2 Char"/>
    <w:link w:val="Heading2"/>
    <w:rsid w:val="00F45E43"/>
    <w:rPr>
      <w:rFonts w:ascii="Arial" w:eastAsia="Times New Roman" w:hAnsi="Arial"/>
      <w:b/>
      <w:sz w:val="28"/>
      <w:szCs w:val="24"/>
      <w:lang w:eastAsia="en-US"/>
    </w:rPr>
  </w:style>
  <w:style w:type="character" w:customStyle="1" w:styleId="Heading3Char">
    <w:name w:val="Heading 3 Char"/>
    <w:link w:val="Heading3"/>
    <w:rsid w:val="00F45E43"/>
    <w:rPr>
      <w:rFonts w:ascii="Arial" w:eastAsia="Times New Roman" w:hAnsi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8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5E43"/>
    <w:pPr>
      <w:keepNext/>
      <w:numPr>
        <w:numId w:val="2"/>
      </w:numPr>
      <w:spacing w:after="6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45E43"/>
    <w:pPr>
      <w:keepNext/>
      <w:numPr>
        <w:ilvl w:val="1"/>
        <w:numId w:val="2"/>
      </w:numPr>
      <w:tabs>
        <w:tab w:val="left" w:pos="680"/>
      </w:tabs>
      <w:spacing w:before="360" w:after="120" w:line="240" w:lineRule="auto"/>
      <w:outlineLvl w:val="1"/>
    </w:pPr>
    <w:rPr>
      <w:rFonts w:ascii="Arial" w:eastAsia="Times New Roman" w:hAnsi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45E43"/>
    <w:pPr>
      <w:keepNext/>
      <w:numPr>
        <w:ilvl w:val="2"/>
        <w:numId w:val="2"/>
      </w:numPr>
      <w:spacing w:before="360" w:after="60" w:line="240" w:lineRule="auto"/>
      <w:jc w:val="both"/>
      <w:outlineLvl w:val="2"/>
    </w:pPr>
    <w:rPr>
      <w:rFonts w:ascii="Arial" w:eastAsia="Times New Roman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F45E4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ing1Char">
    <w:name w:val="Heading 1 Char"/>
    <w:link w:val="Heading1"/>
    <w:rsid w:val="00F45E43"/>
    <w:rPr>
      <w:rFonts w:ascii="Arial" w:eastAsia="Times New Roman" w:hAnsi="Arial" w:cs="Arial"/>
      <w:b/>
      <w:bCs/>
      <w:sz w:val="40"/>
      <w:szCs w:val="24"/>
      <w:lang w:eastAsia="en-US"/>
    </w:rPr>
  </w:style>
  <w:style w:type="character" w:customStyle="1" w:styleId="Heading2Char">
    <w:name w:val="Heading 2 Char"/>
    <w:link w:val="Heading2"/>
    <w:rsid w:val="00F45E43"/>
    <w:rPr>
      <w:rFonts w:ascii="Arial" w:eastAsia="Times New Roman" w:hAnsi="Arial"/>
      <w:b/>
      <w:sz w:val="28"/>
      <w:szCs w:val="24"/>
      <w:lang w:eastAsia="en-US"/>
    </w:rPr>
  </w:style>
  <w:style w:type="character" w:customStyle="1" w:styleId="Heading3Char">
    <w:name w:val="Heading 3 Char"/>
    <w:link w:val="Heading3"/>
    <w:rsid w:val="00F45E43"/>
    <w:rPr>
      <w:rFonts w:ascii="Arial" w:eastAsia="Times New Roman" w:hAnsi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C7B05B4A0F74ABC4CF9B141C26FC1" ma:contentTypeVersion="0" ma:contentTypeDescription="Create a new document." ma:contentTypeScope="" ma:versionID="c50b6bd2818104d3560bee49d4844a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A8E4-D9A9-4A41-9875-0DBD13D79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295EE-3CA5-4FF1-8FC8-F0EC98196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259CD-D904-4DF3-B882-153B98080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C44A7-25FD-44B6-A9C5-84D61FEF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karol.matiasko</dc:creator>
  <cp:lastModifiedBy>Emil Kršák</cp:lastModifiedBy>
  <cp:revision>5</cp:revision>
  <cp:lastPrinted>2007-11-20T07:08:00Z</cp:lastPrinted>
  <dcterms:created xsi:type="dcterms:W3CDTF">2014-04-22T13:59:00Z</dcterms:created>
  <dcterms:modified xsi:type="dcterms:W3CDTF">2014-06-02T19:19:00Z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0x010100730C7B05B4A0F74ABC4CF9B141C26FC1</vt:lpwstr>
  </property>
</Properties>
</file>