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7A9" w:rsidRDefault="00566F4C" w:rsidP="009C57A9">
      <w:pPr>
        <w:spacing w:after="240"/>
        <w:ind w:left="-720" w:right="-514"/>
        <w:jc w:val="both"/>
        <w:rPr>
          <w:rFonts w:ascii="Arial" w:hAnsi="Arial" w:cs="Arial"/>
          <w:b/>
          <w:bCs/>
          <w:noProof/>
          <w:color w:val="000000"/>
          <w:sz w:val="30"/>
          <w:szCs w:val="30"/>
          <w:shd w:val="clear" w:color="auto" w:fill="FFFFFF"/>
        </w:rPr>
      </w:pPr>
      <w:r>
        <w:rPr>
          <w:rFonts w:ascii="Arial" w:hAnsi="Arial" w:cs="Arial"/>
          <w:b/>
          <w:bCs/>
          <w:noProof/>
          <w:color w:val="000000"/>
          <w:sz w:val="30"/>
          <w:szCs w:val="30"/>
          <w:shd w:val="clear" w:color="auto" w:fill="FFFFFF"/>
          <w:lang w:val="en-US" w:eastAsia="en-US"/>
        </w:rPr>
        <w:drawing>
          <wp:anchor distT="0" distB="0" distL="114300" distR="114300" simplePos="0" relativeHeight="251659264" behindDoc="1" locked="0" layoutInCell="1" allowOverlap="1" wp14:anchorId="37FAD1A3" wp14:editId="2C492F09">
            <wp:simplePos x="0" y="0"/>
            <wp:positionH relativeFrom="column">
              <wp:posOffset>-466725</wp:posOffset>
            </wp:positionH>
            <wp:positionV relativeFrom="paragraph">
              <wp:posOffset>-438150</wp:posOffset>
            </wp:positionV>
            <wp:extent cx="7553325" cy="714375"/>
            <wp:effectExtent l="0" t="0" r="9525" b="9525"/>
            <wp:wrapNone/>
            <wp:docPr id="2" name="Picture 2" descr="C:\Users\chrissis\Pictures\728x9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sis\Pictures\728x90.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3325"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57A9" w:rsidRPr="009C57A9" w:rsidRDefault="009C57A9" w:rsidP="009C57A9">
      <w:pPr>
        <w:spacing w:after="240"/>
        <w:ind w:left="-720" w:right="-514"/>
        <w:jc w:val="both"/>
        <w:rPr>
          <w:rFonts w:asciiTheme="minorHAnsi" w:hAnsiTheme="minorHAnsi" w:cs="Arial"/>
          <w:b/>
          <w:bCs/>
          <w:color w:val="CC0000"/>
          <w:sz w:val="20"/>
          <w:szCs w:val="20"/>
        </w:rPr>
      </w:pPr>
      <w:r>
        <w:rPr>
          <w:rFonts w:ascii="Arial" w:hAnsi="Arial" w:cs="Arial"/>
          <w:b/>
          <w:bCs/>
          <w:color w:val="000000"/>
          <w:sz w:val="30"/>
          <w:szCs w:val="30"/>
          <w:shd w:val="clear" w:color="auto" w:fill="FFFFFF"/>
        </w:rPr>
        <w:t xml:space="preserve">   </w:t>
      </w:r>
      <w:r>
        <w:rPr>
          <w:rFonts w:ascii="Arial" w:hAnsi="Arial" w:cs="Arial"/>
          <w:b/>
          <w:bCs/>
          <w:color w:val="000000"/>
          <w:sz w:val="30"/>
          <w:szCs w:val="30"/>
          <w:shd w:val="clear" w:color="auto" w:fill="FFFFFF"/>
        </w:rPr>
        <w:tab/>
      </w:r>
      <w:r w:rsidRPr="009C57A9">
        <w:rPr>
          <w:rFonts w:asciiTheme="minorHAnsi" w:hAnsiTheme="minorHAnsi" w:cs="Arial"/>
          <w:b/>
          <w:bCs/>
          <w:color w:val="000000"/>
          <w:sz w:val="30"/>
          <w:szCs w:val="30"/>
          <w:shd w:val="clear" w:color="auto" w:fill="FFFFFF"/>
        </w:rPr>
        <w:t xml:space="preserve">DHL Operations Graduate Program – </w:t>
      </w:r>
      <w:r w:rsidRPr="009C57A9">
        <w:rPr>
          <w:rFonts w:asciiTheme="minorHAnsi" w:hAnsiTheme="minorHAnsi" w:cs="Arial"/>
          <w:b/>
          <w:bCs/>
          <w:color w:val="CC0000"/>
          <w:sz w:val="30"/>
          <w:szCs w:val="30"/>
          <w:shd w:val="clear" w:color="auto" w:fill="FFFFFF"/>
        </w:rPr>
        <w:t>Slovakia</w:t>
      </w:r>
    </w:p>
    <w:tbl>
      <w:tblPr>
        <w:tblW w:w="0" w:type="auto"/>
        <w:jc w:val="center"/>
        <w:tblInd w:w="-2229" w:type="dxa"/>
        <w:tblBorders>
          <w:top w:val="single" w:sz="18" w:space="0" w:color="CC0000"/>
          <w:left w:val="single" w:sz="18" w:space="0" w:color="CC0000"/>
          <w:bottom w:val="single" w:sz="18" w:space="0" w:color="CC0000"/>
          <w:right w:val="single" w:sz="18" w:space="0" w:color="CC0000"/>
          <w:insideH w:val="single" w:sz="18" w:space="0" w:color="CC0000"/>
          <w:insideV w:val="single" w:sz="18" w:space="0" w:color="CC0000"/>
        </w:tblBorders>
        <w:tblLook w:val="01E0" w:firstRow="1" w:lastRow="1" w:firstColumn="1" w:lastColumn="1" w:noHBand="0" w:noVBand="0"/>
      </w:tblPr>
      <w:tblGrid>
        <w:gridCol w:w="2111"/>
        <w:gridCol w:w="167"/>
        <w:gridCol w:w="7862"/>
        <w:gridCol w:w="236"/>
      </w:tblGrid>
      <w:tr w:rsidR="009C57A9" w:rsidRPr="009C57A9" w:rsidTr="0011740D">
        <w:trPr>
          <w:trHeight w:val="412"/>
          <w:jc w:val="center"/>
        </w:trPr>
        <w:tc>
          <w:tcPr>
            <w:tcW w:w="227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Role Title:</w:t>
            </w:r>
          </w:p>
        </w:tc>
        <w:tc>
          <w:tcPr>
            <w:tcW w:w="809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Operations Management Graduate</w:t>
            </w:r>
          </w:p>
        </w:tc>
      </w:tr>
      <w:tr w:rsidR="009C57A9" w:rsidRPr="009C57A9" w:rsidTr="0011740D">
        <w:trPr>
          <w:trHeight w:val="412"/>
          <w:jc w:val="center"/>
        </w:trPr>
        <w:tc>
          <w:tcPr>
            <w:tcW w:w="227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Location:</w:t>
            </w:r>
          </w:p>
        </w:tc>
        <w:tc>
          <w:tcPr>
            <w:tcW w:w="809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proofErr w:type="spellStart"/>
            <w:r w:rsidRPr="009C57A9">
              <w:rPr>
                <w:rFonts w:asciiTheme="minorHAnsi" w:hAnsiTheme="minorHAnsi" w:cs="Arial"/>
                <w:b/>
                <w:sz w:val="22"/>
                <w:szCs w:val="22"/>
              </w:rPr>
              <w:t>Senec</w:t>
            </w:r>
            <w:proofErr w:type="spellEnd"/>
            <w:r w:rsidRPr="009C57A9">
              <w:rPr>
                <w:rFonts w:asciiTheme="minorHAnsi" w:hAnsiTheme="minorHAnsi" w:cs="Arial"/>
                <w:b/>
                <w:sz w:val="22"/>
                <w:szCs w:val="22"/>
              </w:rPr>
              <w:t xml:space="preserve">, </w:t>
            </w:r>
            <w:proofErr w:type="spellStart"/>
            <w:r w:rsidRPr="009C57A9">
              <w:rPr>
                <w:rFonts w:asciiTheme="minorHAnsi" w:hAnsiTheme="minorHAnsi" w:cs="Arial"/>
                <w:b/>
                <w:sz w:val="22"/>
                <w:szCs w:val="22"/>
              </w:rPr>
              <w:t>Gan</w:t>
            </w:r>
            <w:proofErr w:type="spellEnd"/>
            <w:r w:rsidRPr="009C57A9">
              <w:rPr>
                <w:rFonts w:asciiTheme="minorHAnsi" w:hAnsiTheme="minorHAnsi" w:cs="Arial"/>
                <w:b/>
                <w:sz w:val="22"/>
                <w:szCs w:val="22"/>
              </w:rPr>
              <w:t>, Nitra or Bratislava (</w:t>
            </w:r>
            <w:proofErr w:type="spellStart"/>
            <w:r w:rsidRPr="009C57A9">
              <w:rPr>
                <w:rFonts w:asciiTheme="minorHAnsi" w:hAnsiTheme="minorHAnsi" w:cs="Arial"/>
                <w:b/>
                <w:sz w:val="22"/>
                <w:szCs w:val="22"/>
              </w:rPr>
              <w:t>Devinska</w:t>
            </w:r>
            <w:proofErr w:type="spellEnd"/>
            <w:r w:rsidRPr="009C57A9">
              <w:rPr>
                <w:rFonts w:asciiTheme="minorHAnsi" w:hAnsiTheme="minorHAnsi" w:cs="Arial"/>
                <w:b/>
                <w:sz w:val="22"/>
                <w:szCs w:val="22"/>
              </w:rPr>
              <w:t xml:space="preserve"> Nova </w:t>
            </w:r>
            <w:proofErr w:type="spellStart"/>
            <w:r w:rsidRPr="009C57A9">
              <w:rPr>
                <w:rFonts w:asciiTheme="minorHAnsi" w:hAnsiTheme="minorHAnsi" w:cs="Arial"/>
                <w:b/>
                <w:sz w:val="22"/>
                <w:szCs w:val="22"/>
              </w:rPr>
              <w:t>Ves</w:t>
            </w:r>
            <w:proofErr w:type="spellEnd"/>
            <w:r w:rsidRPr="009C57A9">
              <w:rPr>
                <w:rFonts w:asciiTheme="minorHAnsi" w:hAnsiTheme="minorHAnsi" w:cs="Arial"/>
                <w:b/>
                <w:sz w:val="22"/>
                <w:szCs w:val="22"/>
              </w:rPr>
              <w:t>)</w:t>
            </w:r>
          </w:p>
        </w:tc>
      </w:tr>
      <w:tr w:rsidR="009C57A9" w:rsidRPr="009C57A9" w:rsidTr="0011740D">
        <w:trPr>
          <w:trHeight w:val="412"/>
          <w:jc w:val="center"/>
        </w:trPr>
        <w:tc>
          <w:tcPr>
            <w:tcW w:w="227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Salary:</w:t>
            </w:r>
          </w:p>
        </w:tc>
        <w:tc>
          <w:tcPr>
            <w:tcW w:w="809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Competitive</w:t>
            </w:r>
          </w:p>
        </w:tc>
      </w:tr>
      <w:tr w:rsidR="009C57A9" w:rsidRPr="009C57A9" w:rsidTr="0011740D">
        <w:trPr>
          <w:trHeight w:val="412"/>
          <w:jc w:val="center"/>
        </w:trPr>
        <w:tc>
          <w:tcPr>
            <w:tcW w:w="227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Start Date:</w:t>
            </w:r>
          </w:p>
        </w:tc>
        <w:tc>
          <w:tcPr>
            <w:tcW w:w="8098" w:type="dxa"/>
            <w:gridSpan w:val="2"/>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July 2014 – September 2014 (latest start date is 1</w:t>
            </w:r>
            <w:r w:rsidRPr="009C57A9">
              <w:rPr>
                <w:rFonts w:asciiTheme="minorHAnsi" w:hAnsiTheme="minorHAnsi" w:cs="Arial"/>
                <w:b/>
                <w:sz w:val="22"/>
                <w:szCs w:val="22"/>
                <w:vertAlign w:val="superscript"/>
              </w:rPr>
              <w:t>st</w:t>
            </w:r>
            <w:r w:rsidR="00AD2946">
              <w:rPr>
                <w:rFonts w:asciiTheme="minorHAnsi" w:hAnsiTheme="minorHAnsi" w:cs="Arial"/>
                <w:b/>
                <w:sz w:val="22"/>
                <w:szCs w:val="22"/>
              </w:rPr>
              <w:t xml:space="preserve"> S</w:t>
            </w:r>
            <w:r w:rsidRPr="009C57A9">
              <w:rPr>
                <w:rFonts w:asciiTheme="minorHAnsi" w:hAnsiTheme="minorHAnsi" w:cs="Arial"/>
                <w:b/>
                <w:sz w:val="22"/>
                <w:szCs w:val="22"/>
              </w:rPr>
              <w:t>eptember 2014)</w:t>
            </w:r>
          </w:p>
        </w:tc>
      </w:tr>
      <w:tr w:rsidR="009C57A9" w:rsidRPr="009C57A9" w:rsidTr="0011740D">
        <w:trPr>
          <w:trHeight w:val="2112"/>
          <w:jc w:val="center"/>
        </w:trPr>
        <w:tc>
          <w:tcPr>
            <w:tcW w:w="10376" w:type="dxa"/>
            <w:gridSpan w:val="4"/>
            <w:vAlign w:val="center"/>
          </w:tcPr>
          <w:p w:rsidR="009C57A9" w:rsidRPr="009C57A9" w:rsidRDefault="009C57A9" w:rsidP="00DE3253">
            <w:pPr>
              <w:spacing w:after="120"/>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DHL Supply Chain is No 1 in global contract logistics providing customized logistics and industry solutions in the area of supply chain management - from consultancy, design and sourcing through to warehousing, assembly and distribution. </w:t>
            </w:r>
            <w:r w:rsidR="0011740D">
              <w:rPr>
                <w:rFonts w:asciiTheme="minorHAnsi" w:hAnsiTheme="minorHAnsi" w:cs="Arial"/>
                <w:color w:val="000000"/>
                <w:sz w:val="22"/>
                <w:szCs w:val="22"/>
              </w:rPr>
              <w:t xml:space="preserve"> </w:t>
            </w:r>
          </w:p>
          <w:p w:rsidR="009C57A9" w:rsidRPr="009C57A9" w:rsidRDefault="009C57A9" w:rsidP="00DE3253">
            <w:pPr>
              <w:jc w:val="both"/>
              <w:rPr>
                <w:rFonts w:asciiTheme="minorHAnsi" w:hAnsiTheme="minorHAnsi" w:cs="Arial"/>
                <w:b/>
                <w:color w:val="000000"/>
                <w:sz w:val="22"/>
                <w:szCs w:val="22"/>
              </w:rPr>
            </w:pPr>
            <w:r w:rsidRPr="009C57A9">
              <w:rPr>
                <w:rFonts w:asciiTheme="minorHAnsi" w:hAnsiTheme="minorHAnsi" w:cs="Arial"/>
                <w:sz w:val="22"/>
                <w:szCs w:val="22"/>
              </w:rPr>
              <w:t>DHL is a Deutsche Post DHL brand, with around 470,000 employees operating in more than 220 countries and territories. At DHL Supply Chain, we are looking for creative entrepreneurial graduates who will become the future leaders of our business.</w:t>
            </w:r>
          </w:p>
        </w:tc>
      </w:tr>
      <w:tr w:rsidR="009C57A9" w:rsidRPr="009C57A9" w:rsidTr="0011740D">
        <w:trPr>
          <w:trHeight w:val="2112"/>
          <w:jc w:val="center"/>
        </w:trPr>
        <w:tc>
          <w:tcPr>
            <w:tcW w:w="10376" w:type="dxa"/>
            <w:gridSpan w:val="4"/>
            <w:tcBorders>
              <w:top w:val="single" w:sz="18" w:space="0" w:color="CC0000"/>
              <w:left w:val="single" w:sz="18" w:space="0" w:color="CC0000"/>
              <w:bottom w:val="single" w:sz="18" w:space="0" w:color="CC0000"/>
              <w:right w:val="single" w:sz="18" w:space="0" w:color="CC0000"/>
            </w:tcBorders>
            <w:vAlign w:val="center"/>
          </w:tcPr>
          <w:p w:rsidR="009C57A9" w:rsidRPr="009C57A9" w:rsidRDefault="009C57A9" w:rsidP="00DE3253">
            <w:pPr>
              <w:spacing w:after="120"/>
              <w:jc w:val="both"/>
              <w:rPr>
                <w:rFonts w:asciiTheme="minorHAnsi" w:hAnsiTheme="minorHAnsi" w:cs="Arial"/>
                <w:b/>
                <w:color w:val="000000"/>
                <w:sz w:val="22"/>
                <w:szCs w:val="22"/>
              </w:rPr>
            </w:pPr>
            <w:r w:rsidRPr="009C57A9">
              <w:rPr>
                <w:rFonts w:asciiTheme="minorHAnsi" w:hAnsiTheme="minorHAnsi" w:cs="Arial"/>
                <w:b/>
                <w:color w:val="000000"/>
                <w:sz w:val="22"/>
                <w:szCs w:val="22"/>
              </w:rPr>
              <w:t>The Program</w:t>
            </w:r>
          </w:p>
          <w:p w:rsidR="009C57A9" w:rsidRPr="009C57A9" w:rsidRDefault="009C57A9" w:rsidP="00DE3253">
            <w:pPr>
              <w:spacing w:after="120"/>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The DHL Operations Graduate Program provides a diverse range of development opportunities to help achieve your career and personal goals including: </w:t>
            </w:r>
          </w:p>
          <w:p w:rsidR="009C57A9" w:rsidRPr="009C57A9" w:rsidRDefault="009C57A9" w:rsidP="009C57A9">
            <w:pPr>
              <w:numPr>
                <w:ilvl w:val="0"/>
                <w:numId w:val="1"/>
              </w:numPr>
              <w:tabs>
                <w:tab w:val="clear" w:pos="720"/>
                <w:tab w:val="num" w:pos="176"/>
              </w:tabs>
              <w:ind w:left="176" w:hanging="176"/>
              <w:jc w:val="both"/>
              <w:rPr>
                <w:rFonts w:asciiTheme="minorHAnsi" w:hAnsiTheme="minorHAnsi" w:cs="Arial"/>
                <w:color w:val="000000"/>
                <w:sz w:val="22"/>
                <w:szCs w:val="22"/>
              </w:rPr>
            </w:pPr>
            <w:r w:rsidRPr="009C57A9">
              <w:rPr>
                <w:rFonts w:asciiTheme="minorHAnsi" w:hAnsiTheme="minorHAnsi" w:cs="Arial"/>
                <w:color w:val="000000"/>
                <w:sz w:val="22"/>
                <w:szCs w:val="22"/>
              </w:rPr>
              <w:t>24 month structured program, 2 placements of 12</w:t>
            </w:r>
            <w:r>
              <w:rPr>
                <w:rFonts w:asciiTheme="minorHAnsi" w:hAnsiTheme="minorHAnsi" w:cs="Arial"/>
                <w:color w:val="000000"/>
                <w:sz w:val="22"/>
                <w:szCs w:val="22"/>
              </w:rPr>
              <w:t xml:space="preserve"> month</w:t>
            </w:r>
            <w:r w:rsidR="00AD2946">
              <w:rPr>
                <w:rFonts w:asciiTheme="minorHAnsi" w:hAnsiTheme="minorHAnsi" w:cs="Arial"/>
                <w:color w:val="000000"/>
                <w:sz w:val="22"/>
                <w:szCs w:val="22"/>
              </w:rPr>
              <w:t>s</w:t>
            </w:r>
          </w:p>
          <w:p w:rsidR="009C57A9" w:rsidRPr="009C57A9" w:rsidRDefault="009C57A9" w:rsidP="009C57A9">
            <w:pPr>
              <w:numPr>
                <w:ilvl w:val="0"/>
                <w:numId w:val="1"/>
              </w:numPr>
              <w:tabs>
                <w:tab w:val="clear" w:pos="720"/>
                <w:tab w:val="num" w:pos="176"/>
              </w:tabs>
              <w:ind w:left="176" w:hanging="176"/>
              <w:jc w:val="both"/>
              <w:rPr>
                <w:rFonts w:asciiTheme="minorHAnsi" w:hAnsiTheme="minorHAnsi" w:cs="Arial"/>
                <w:color w:val="000000"/>
                <w:sz w:val="22"/>
                <w:szCs w:val="22"/>
              </w:rPr>
            </w:pPr>
            <w:r w:rsidRPr="009C57A9">
              <w:rPr>
                <w:rFonts w:asciiTheme="minorHAnsi" w:hAnsiTheme="minorHAnsi" w:cs="Arial"/>
                <w:color w:val="000000"/>
                <w:sz w:val="22"/>
                <w:szCs w:val="22"/>
              </w:rPr>
              <w:t>Based in a warehouse or distribution</w:t>
            </w:r>
            <w:r>
              <w:rPr>
                <w:rFonts w:asciiTheme="minorHAnsi" w:hAnsiTheme="minorHAnsi" w:cs="Arial"/>
                <w:color w:val="000000"/>
                <w:sz w:val="22"/>
                <w:szCs w:val="22"/>
              </w:rPr>
              <w:t xml:space="preserve"> centre</w:t>
            </w:r>
            <w:r w:rsidRPr="009C57A9">
              <w:rPr>
                <w:rFonts w:asciiTheme="minorHAnsi" w:hAnsiTheme="minorHAnsi" w:cs="Arial"/>
                <w:color w:val="000000"/>
                <w:sz w:val="22"/>
                <w:szCs w:val="22"/>
              </w:rPr>
              <w:t xml:space="preserve">, learning primarily about different areas of the operation </w:t>
            </w:r>
          </w:p>
          <w:p w:rsidR="009C57A9" w:rsidRPr="009C57A9" w:rsidRDefault="009C57A9" w:rsidP="009C57A9">
            <w:pPr>
              <w:numPr>
                <w:ilvl w:val="0"/>
                <w:numId w:val="1"/>
              </w:numPr>
              <w:tabs>
                <w:tab w:val="clear" w:pos="720"/>
                <w:tab w:val="num" w:pos="176"/>
              </w:tabs>
              <w:ind w:left="176" w:hanging="176"/>
              <w:jc w:val="both"/>
              <w:rPr>
                <w:rFonts w:asciiTheme="minorHAnsi" w:hAnsiTheme="minorHAnsi" w:cs="Arial"/>
                <w:color w:val="000000"/>
                <w:sz w:val="22"/>
                <w:szCs w:val="22"/>
              </w:rPr>
            </w:pPr>
            <w:r w:rsidRPr="009C57A9">
              <w:rPr>
                <w:rFonts w:asciiTheme="minorHAnsi" w:hAnsiTheme="minorHAnsi" w:cs="Arial"/>
                <w:color w:val="000000"/>
                <w:sz w:val="22"/>
                <w:szCs w:val="22"/>
              </w:rPr>
              <w:t>Combination of different roles within one placement – different departments within</w:t>
            </w:r>
            <w:r w:rsidR="000A39DD">
              <w:rPr>
                <w:rFonts w:asciiTheme="minorHAnsi" w:hAnsiTheme="minorHAnsi" w:cs="Arial"/>
                <w:color w:val="000000"/>
                <w:sz w:val="22"/>
                <w:szCs w:val="22"/>
              </w:rPr>
              <w:t xml:space="preserve"> o</w:t>
            </w:r>
            <w:r w:rsidRPr="009C57A9">
              <w:rPr>
                <w:rFonts w:asciiTheme="minorHAnsi" w:hAnsiTheme="minorHAnsi" w:cs="Arial"/>
                <w:color w:val="000000"/>
                <w:sz w:val="22"/>
                <w:szCs w:val="22"/>
              </w:rPr>
              <w:t>perations (inbound, outbound, picking, stock integrity, planning); there is also possibility to experience Transport, Business Development, IT, Processes or Projects</w:t>
            </w:r>
            <w:r w:rsidR="0011740D">
              <w:rPr>
                <w:rFonts w:asciiTheme="minorHAnsi" w:hAnsiTheme="minorHAnsi" w:cs="Arial"/>
                <w:color w:val="000000"/>
                <w:sz w:val="22"/>
                <w:szCs w:val="22"/>
              </w:rPr>
              <w:t>, depending</w:t>
            </w:r>
            <w:r w:rsidRPr="009C57A9">
              <w:rPr>
                <w:rFonts w:asciiTheme="minorHAnsi" w:hAnsiTheme="minorHAnsi" w:cs="Arial"/>
                <w:color w:val="000000"/>
                <w:sz w:val="22"/>
                <w:szCs w:val="22"/>
              </w:rPr>
              <w:t xml:space="preserve"> on individual career aspirations and business opportunities</w:t>
            </w:r>
          </w:p>
          <w:p w:rsidR="009C57A9" w:rsidRPr="009C57A9" w:rsidRDefault="009C57A9" w:rsidP="009C57A9">
            <w:pPr>
              <w:numPr>
                <w:ilvl w:val="0"/>
                <w:numId w:val="1"/>
              </w:numPr>
              <w:tabs>
                <w:tab w:val="clear" w:pos="720"/>
                <w:tab w:val="num" w:pos="176"/>
              </w:tabs>
              <w:ind w:left="176" w:hanging="176"/>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Early responsibility and fast progression </w:t>
            </w:r>
            <w:r w:rsidR="0011740D">
              <w:rPr>
                <w:rFonts w:asciiTheme="minorHAnsi" w:hAnsiTheme="minorHAnsi" w:cs="Arial"/>
                <w:color w:val="000000"/>
                <w:sz w:val="22"/>
                <w:szCs w:val="22"/>
              </w:rPr>
              <w:t>to managerial operational roles</w:t>
            </w:r>
          </w:p>
          <w:p w:rsidR="009C57A9" w:rsidRPr="009C57A9" w:rsidRDefault="009C57A9" w:rsidP="009C57A9">
            <w:pPr>
              <w:numPr>
                <w:ilvl w:val="0"/>
                <w:numId w:val="1"/>
              </w:numPr>
              <w:tabs>
                <w:tab w:val="clear" w:pos="720"/>
                <w:tab w:val="num" w:pos="176"/>
              </w:tabs>
              <w:ind w:left="176" w:hanging="176"/>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Experience of working within fast paced sites and environments </w:t>
            </w:r>
          </w:p>
          <w:p w:rsidR="009C57A9" w:rsidRPr="009C57A9" w:rsidRDefault="009C57A9" w:rsidP="00AD2946">
            <w:pPr>
              <w:numPr>
                <w:ilvl w:val="0"/>
                <w:numId w:val="1"/>
              </w:numPr>
              <w:tabs>
                <w:tab w:val="clear" w:pos="720"/>
                <w:tab w:val="num" w:pos="176"/>
              </w:tabs>
              <w:ind w:left="176" w:hanging="176"/>
              <w:jc w:val="both"/>
              <w:rPr>
                <w:rFonts w:asciiTheme="minorHAnsi" w:hAnsiTheme="minorHAnsi" w:cs="Arial"/>
                <w:b/>
                <w:color w:val="000000"/>
                <w:sz w:val="22"/>
                <w:szCs w:val="22"/>
              </w:rPr>
            </w:pPr>
            <w:r w:rsidRPr="009C57A9">
              <w:rPr>
                <w:rFonts w:asciiTheme="minorHAnsi" w:hAnsiTheme="minorHAnsi" w:cs="Arial"/>
                <w:color w:val="000000"/>
                <w:sz w:val="22"/>
                <w:szCs w:val="22"/>
              </w:rPr>
              <w:t>A framework of personal development module</w:t>
            </w:r>
            <w:r w:rsidR="00AD2946">
              <w:rPr>
                <w:rFonts w:asciiTheme="minorHAnsi" w:hAnsiTheme="minorHAnsi" w:cs="Arial"/>
                <w:color w:val="000000"/>
                <w:sz w:val="22"/>
                <w:szCs w:val="22"/>
              </w:rPr>
              <w:t>s focusing on managerial skills, together with r</w:t>
            </w:r>
            <w:r w:rsidRPr="009C57A9">
              <w:rPr>
                <w:rFonts w:asciiTheme="minorHAnsi" w:hAnsiTheme="minorHAnsi" w:cs="Arial"/>
                <w:color w:val="000000"/>
                <w:sz w:val="22"/>
                <w:szCs w:val="22"/>
              </w:rPr>
              <w:t>egular performance feedback and personal development planning</w:t>
            </w:r>
          </w:p>
        </w:tc>
      </w:tr>
      <w:tr w:rsidR="009C57A9" w:rsidRPr="009C57A9" w:rsidTr="0011740D">
        <w:trPr>
          <w:trHeight w:val="2112"/>
          <w:jc w:val="center"/>
        </w:trPr>
        <w:tc>
          <w:tcPr>
            <w:tcW w:w="10376" w:type="dxa"/>
            <w:gridSpan w:val="4"/>
            <w:tcBorders>
              <w:top w:val="single" w:sz="18" w:space="0" w:color="CC0000"/>
              <w:left w:val="single" w:sz="18" w:space="0" w:color="CC0000"/>
              <w:bottom w:val="single" w:sz="18" w:space="0" w:color="CC0000"/>
              <w:right w:val="single" w:sz="18" w:space="0" w:color="CC0000"/>
            </w:tcBorders>
            <w:vAlign w:val="center"/>
          </w:tcPr>
          <w:p w:rsidR="009C57A9" w:rsidRPr="009C57A9" w:rsidRDefault="009C57A9" w:rsidP="00DE3253">
            <w:pPr>
              <w:spacing w:after="120"/>
              <w:jc w:val="both"/>
              <w:rPr>
                <w:rFonts w:asciiTheme="minorHAnsi" w:hAnsiTheme="minorHAnsi" w:cs="Arial"/>
                <w:b/>
                <w:color w:val="000000"/>
                <w:sz w:val="22"/>
                <w:szCs w:val="22"/>
              </w:rPr>
            </w:pPr>
            <w:r w:rsidRPr="009C57A9">
              <w:rPr>
                <w:rFonts w:asciiTheme="minorHAnsi" w:hAnsiTheme="minorHAnsi" w:cs="Arial"/>
                <w:b/>
                <w:color w:val="000000"/>
                <w:sz w:val="22"/>
                <w:szCs w:val="22"/>
              </w:rPr>
              <w:t>Requirements</w:t>
            </w:r>
          </w:p>
          <w:p w:rsidR="009C57A9" w:rsidRPr="009C57A9" w:rsidRDefault="009C57A9" w:rsidP="00DE3253">
            <w:pPr>
              <w:spacing w:after="120"/>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We recruit people who are visionary, can take the initiative and seek out ways to advance our business success so we're looking for graduates with the following qualities and skills: </w:t>
            </w:r>
          </w:p>
          <w:p w:rsidR="009C57A9" w:rsidRPr="009C57A9" w:rsidRDefault="009C57A9" w:rsidP="009C57A9">
            <w:pPr>
              <w:numPr>
                <w:ilvl w:val="0"/>
                <w:numId w:val="2"/>
              </w:numPr>
              <w:tabs>
                <w:tab w:val="clear" w:pos="360"/>
                <w:tab w:val="num" w:pos="176"/>
              </w:tabs>
              <w:ind w:left="357" w:hanging="357"/>
              <w:jc w:val="both"/>
              <w:rPr>
                <w:rFonts w:asciiTheme="minorHAnsi" w:hAnsiTheme="minorHAnsi" w:cs="Arial"/>
                <w:color w:val="000000"/>
                <w:sz w:val="22"/>
                <w:szCs w:val="22"/>
              </w:rPr>
            </w:pPr>
            <w:r w:rsidRPr="009C57A9">
              <w:rPr>
                <w:rFonts w:asciiTheme="minorHAnsi" w:hAnsiTheme="minorHAnsi" w:cs="Arial"/>
                <w:color w:val="000000"/>
                <w:sz w:val="22"/>
                <w:szCs w:val="22"/>
              </w:rPr>
              <w:t xml:space="preserve">Degree educated </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Bi-lingual in English and Slovak, German is an advantage</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Customer focused</w:t>
            </w:r>
          </w:p>
          <w:p w:rsidR="009C57A9" w:rsidRPr="009C57A9" w:rsidRDefault="00AD2946" w:rsidP="009C57A9">
            <w:pPr>
              <w:numPr>
                <w:ilvl w:val="0"/>
                <w:numId w:val="2"/>
              </w:numPr>
              <w:tabs>
                <w:tab w:val="clear" w:pos="360"/>
                <w:tab w:val="num" w:pos="176"/>
              </w:tabs>
              <w:ind w:left="0" w:firstLine="0"/>
              <w:rPr>
                <w:rFonts w:asciiTheme="minorHAnsi" w:hAnsiTheme="minorHAnsi" w:cs="Arial"/>
                <w:color w:val="000000"/>
                <w:sz w:val="22"/>
                <w:szCs w:val="22"/>
              </w:rPr>
            </w:pPr>
            <w:r>
              <w:rPr>
                <w:rFonts w:asciiTheme="minorHAnsi" w:hAnsiTheme="minorHAnsi" w:cs="Arial"/>
                <w:color w:val="000000"/>
                <w:sz w:val="22"/>
                <w:szCs w:val="22"/>
              </w:rPr>
              <w:t xml:space="preserve">Excellent communication, organisational and </w:t>
            </w:r>
            <w:r w:rsidR="009C57A9" w:rsidRPr="009C57A9">
              <w:rPr>
                <w:rFonts w:asciiTheme="minorHAnsi" w:hAnsiTheme="minorHAnsi" w:cs="Arial"/>
                <w:color w:val="000000"/>
                <w:sz w:val="22"/>
                <w:szCs w:val="22"/>
              </w:rPr>
              <w:t>interpersonal skills</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Good analytical and problem solving skills</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Demonstrate leadership skills/potential</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Ability to build relationships and work well as part of a team</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Strong interest in career opportunities in the Supply Chain industry</w:t>
            </w:r>
          </w:p>
          <w:p w:rsidR="009C57A9" w:rsidRPr="0011740D" w:rsidRDefault="0011740D" w:rsidP="009C57A9">
            <w:pPr>
              <w:numPr>
                <w:ilvl w:val="0"/>
                <w:numId w:val="2"/>
              </w:numPr>
              <w:tabs>
                <w:tab w:val="clear" w:pos="360"/>
                <w:tab w:val="num" w:pos="176"/>
              </w:tabs>
              <w:ind w:left="0" w:firstLine="0"/>
              <w:rPr>
                <w:rFonts w:asciiTheme="minorHAnsi" w:hAnsiTheme="minorHAnsi" w:cs="Arial"/>
                <w:color w:val="000000"/>
                <w:sz w:val="22"/>
                <w:szCs w:val="22"/>
              </w:rPr>
            </w:pPr>
            <w:r w:rsidRPr="0011740D">
              <w:rPr>
                <w:rFonts w:asciiTheme="minorHAnsi" w:hAnsiTheme="minorHAnsi" w:cs="Arial"/>
                <w:color w:val="000000"/>
                <w:sz w:val="22"/>
                <w:szCs w:val="22"/>
              </w:rPr>
              <w:t>Willingness and capability</w:t>
            </w:r>
            <w:r w:rsidR="009C57A9" w:rsidRPr="0011740D">
              <w:rPr>
                <w:rFonts w:asciiTheme="minorHAnsi" w:hAnsiTheme="minorHAnsi" w:cs="Arial"/>
                <w:color w:val="000000"/>
                <w:sz w:val="22"/>
                <w:szCs w:val="22"/>
              </w:rPr>
              <w:t xml:space="preserve"> to take </w:t>
            </w:r>
            <w:r w:rsidRPr="0011740D">
              <w:rPr>
                <w:rFonts w:asciiTheme="minorHAnsi" w:hAnsiTheme="minorHAnsi" w:cs="Arial"/>
                <w:color w:val="000000"/>
                <w:sz w:val="22"/>
                <w:szCs w:val="22"/>
              </w:rPr>
              <w:t xml:space="preserve">handle difficult situations, with a </w:t>
            </w:r>
            <w:r>
              <w:rPr>
                <w:rFonts w:asciiTheme="minorHAnsi" w:hAnsiTheme="minorHAnsi" w:cs="Arial"/>
                <w:color w:val="000000"/>
                <w:sz w:val="22"/>
                <w:szCs w:val="22"/>
              </w:rPr>
              <w:t>s</w:t>
            </w:r>
            <w:r w:rsidR="009C57A9" w:rsidRPr="0011740D">
              <w:rPr>
                <w:rFonts w:asciiTheme="minorHAnsi" w:hAnsiTheme="minorHAnsi" w:cs="Arial"/>
                <w:color w:val="000000"/>
                <w:sz w:val="22"/>
                <w:szCs w:val="22"/>
              </w:rPr>
              <w:t>trong sense of responsibility</w:t>
            </w:r>
          </w:p>
          <w:p w:rsidR="009C57A9" w:rsidRPr="009C57A9" w:rsidRDefault="009C57A9" w:rsidP="009C57A9">
            <w:pPr>
              <w:numPr>
                <w:ilvl w:val="0"/>
                <w:numId w:val="2"/>
              </w:numPr>
              <w:tabs>
                <w:tab w:val="clear" w:pos="360"/>
                <w:tab w:val="num" w:pos="176"/>
              </w:tabs>
              <w:ind w:left="0" w:firstLine="0"/>
              <w:rPr>
                <w:rFonts w:asciiTheme="minorHAnsi" w:hAnsiTheme="minorHAnsi" w:cs="Arial"/>
                <w:color w:val="000000"/>
                <w:sz w:val="22"/>
                <w:szCs w:val="22"/>
              </w:rPr>
            </w:pPr>
            <w:r w:rsidRPr="009C57A9">
              <w:rPr>
                <w:rFonts w:asciiTheme="minorHAnsi" w:hAnsiTheme="minorHAnsi" w:cs="Arial"/>
                <w:color w:val="000000"/>
                <w:sz w:val="22"/>
                <w:szCs w:val="22"/>
              </w:rPr>
              <w:t>Flexibility and mobility to move between DHL sites</w:t>
            </w:r>
          </w:p>
          <w:p w:rsidR="009C57A9" w:rsidRPr="009C57A9" w:rsidRDefault="009C57A9" w:rsidP="0026772D">
            <w:pPr>
              <w:numPr>
                <w:ilvl w:val="0"/>
                <w:numId w:val="2"/>
              </w:numPr>
              <w:tabs>
                <w:tab w:val="clear" w:pos="360"/>
                <w:tab w:val="num" w:pos="176"/>
              </w:tabs>
              <w:ind w:left="0" w:firstLine="0"/>
              <w:rPr>
                <w:rFonts w:asciiTheme="minorHAnsi" w:hAnsiTheme="minorHAnsi" w:cs="Arial"/>
                <w:b/>
                <w:color w:val="000000"/>
                <w:sz w:val="22"/>
                <w:szCs w:val="22"/>
              </w:rPr>
            </w:pPr>
            <w:r w:rsidRPr="009C57A9">
              <w:rPr>
                <w:rFonts w:asciiTheme="minorHAnsi" w:hAnsiTheme="minorHAnsi" w:cs="Arial"/>
                <w:color w:val="000000"/>
                <w:sz w:val="22"/>
                <w:szCs w:val="22"/>
              </w:rPr>
              <w:t>Willing to start in operations</w:t>
            </w:r>
            <w:r w:rsidR="0011740D">
              <w:rPr>
                <w:rFonts w:asciiTheme="minorHAnsi" w:hAnsiTheme="minorHAnsi" w:cs="Arial"/>
                <w:color w:val="000000"/>
                <w:sz w:val="22"/>
                <w:szCs w:val="22"/>
              </w:rPr>
              <w:t xml:space="preserve"> &amp;</w:t>
            </w:r>
            <w:r w:rsidRPr="009C57A9">
              <w:rPr>
                <w:rFonts w:asciiTheme="minorHAnsi" w:hAnsiTheme="minorHAnsi" w:cs="Arial"/>
                <w:color w:val="000000"/>
                <w:sz w:val="22"/>
                <w:szCs w:val="22"/>
              </w:rPr>
              <w:t xml:space="preserve"> work in warehouse environment</w:t>
            </w:r>
            <w:r w:rsidR="0011740D">
              <w:rPr>
                <w:rFonts w:asciiTheme="minorHAnsi" w:hAnsiTheme="minorHAnsi" w:cs="Arial"/>
                <w:color w:val="000000"/>
                <w:sz w:val="22"/>
                <w:szCs w:val="22"/>
              </w:rPr>
              <w:t>, prepare</w:t>
            </w:r>
            <w:r w:rsidR="0026772D">
              <w:rPr>
                <w:rFonts w:asciiTheme="minorHAnsi" w:hAnsiTheme="minorHAnsi" w:cs="Arial"/>
                <w:color w:val="000000"/>
                <w:sz w:val="22"/>
                <w:szCs w:val="22"/>
              </w:rPr>
              <w:t>d</w:t>
            </w:r>
            <w:r w:rsidR="0011740D">
              <w:rPr>
                <w:rFonts w:asciiTheme="minorHAnsi" w:hAnsiTheme="minorHAnsi" w:cs="Arial"/>
                <w:color w:val="000000"/>
                <w:sz w:val="22"/>
                <w:szCs w:val="22"/>
              </w:rPr>
              <w:t xml:space="preserve"> to  work s</w:t>
            </w:r>
            <w:r w:rsidRPr="009C57A9">
              <w:rPr>
                <w:rFonts w:asciiTheme="minorHAnsi" w:hAnsiTheme="minorHAnsi" w:cs="Arial"/>
                <w:color w:val="000000"/>
                <w:sz w:val="22"/>
                <w:szCs w:val="22"/>
              </w:rPr>
              <w:t>hift</w:t>
            </w:r>
            <w:r w:rsidR="0011740D">
              <w:rPr>
                <w:rFonts w:asciiTheme="minorHAnsi" w:hAnsiTheme="minorHAnsi" w:cs="Arial"/>
                <w:color w:val="000000"/>
                <w:sz w:val="22"/>
                <w:szCs w:val="22"/>
              </w:rPr>
              <w:t>s</w:t>
            </w:r>
          </w:p>
        </w:tc>
      </w:tr>
      <w:tr w:rsidR="009C57A9" w:rsidRPr="009C57A9" w:rsidTr="00E95AA2">
        <w:trPr>
          <w:trHeight w:val="1054"/>
          <w:jc w:val="center"/>
        </w:trPr>
        <w:tc>
          <w:tcPr>
            <w:tcW w:w="10140" w:type="dxa"/>
            <w:gridSpan w:val="3"/>
            <w:tcBorders>
              <w:right w:val="nil"/>
            </w:tcBorders>
            <w:vAlign w:val="center"/>
          </w:tcPr>
          <w:p w:rsid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How to apply:</w:t>
            </w:r>
          </w:p>
          <w:p w:rsidR="00627776" w:rsidRDefault="0011740D" w:rsidP="00627776">
            <w:pPr>
              <w:pStyle w:val="Header"/>
              <w:tabs>
                <w:tab w:val="clear" w:pos="4320"/>
                <w:tab w:val="clear" w:pos="8640"/>
              </w:tabs>
              <w:jc w:val="both"/>
              <w:rPr>
                <w:rFonts w:asciiTheme="minorHAnsi" w:hAnsiTheme="minorHAnsi" w:cs="Arial"/>
                <w:sz w:val="22"/>
                <w:szCs w:val="22"/>
              </w:rPr>
            </w:pPr>
            <w:r>
              <w:rPr>
                <w:rFonts w:asciiTheme="minorHAnsi" w:hAnsiTheme="minorHAnsi" w:cs="Arial"/>
                <w:sz w:val="22"/>
                <w:szCs w:val="22"/>
              </w:rPr>
              <w:t xml:space="preserve">For more information about the program please visit </w:t>
            </w:r>
            <w:hyperlink r:id="rId7" w:history="1">
              <w:r w:rsidRPr="00F113BF">
                <w:rPr>
                  <w:rStyle w:val="Hyperlink"/>
                  <w:rFonts w:asciiTheme="minorHAnsi" w:hAnsiTheme="minorHAnsi"/>
                  <w:sz w:val="22"/>
                  <w:szCs w:val="22"/>
                </w:rPr>
                <w:t>www.dhl-graduates.com</w:t>
              </w:r>
            </w:hyperlink>
            <w:r>
              <w:rPr>
                <w:rFonts w:asciiTheme="minorHAnsi" w:hAnsiTheme="minorHAnsi" w:cs="Arial"/>
                <w:sz w:val="22"/>
                <w:szCs w:val="22"/>
              </w:rPr>
              <w:t xml:space="preserve">.  </w:t>
            </w:r>
          </w:p>
          <w:p w:rsidR="009C57A9" w:rsidRPr="009C57A9" w:rsidRDefault="0011740D" w:rsidP="00627776">
            <w:pPr>
              <w:pStyle w:val="Header"/>
              <w:tabs>
                <w:tab w:val="clear" w:pos="4320"/>
                <w:tab w:val="clear" w:pos="8640"/>
              </w:tabs>
              <w:jc w:val="both"/>
              <w:rPr>
                <w:rFonts w:asciiTheme="minorHAnsi" w:hAnsiTheme="minorHAnsi" w:cs="Arial"/>
                <w:color w:val="000000"/>
                <w:sz w:val="22"/>
                <w:szCs w:val="22"/>
              </w:rPr>
            </w:pPr>
            <w:r>
              <w:rPr>
                <w:rFonts w:asciiTheme="minorHAnsi" w:hAnsiTheme="minorHAnsi" w:cs="Arial"/>
                <w:sz w:val="22"/>
                <w:szCs w:val="22"/>
              </w:rPr>
              <w:t xml:space="preserve">To apply directly, please go to </w:t>
            </w:r>
            <w:hyperlink r:id="rId8" w:history="1">
              <w:r w:rsidR="009C57A9" w:rsidRPr="00AD2946">
                <w:rPr>
                  <w:rStyle w:val="Hyperlink"/>
                  <w:rFonts w:asciiTheme="minorHAnsi" w:hAnsiTheme="minorHAnsi"/>
                  <w:color w:val="000000" w:themeColor="text1"/>
                  <w:sz w:val="22"/>
                  <w:szCs w:val="22"/>
                </w:rPr>
                <w:t>http://www.dhl.gtios.com</w:t>
              </w:r>
            </w:hyperlink>
            <w:bookmarkStart w:id="0" w:name="_GoBack"/>
            <w:bookmarkEnd w:id="0"/>
          </w:p>
        </w:tc>
        <w:tc>
          <w:tcPr>
            <w:tcW w:w="236" w:type="dxa"/>
            <w:tcBorders>
              <w:left w:val="nil"/>
            </w:tcBorders>
            <w:vAlign w:val="center"/>
          </w:tcPr>
          <w:p w:rsidR="009C57A9" w:rsidRPr="009C57A9" w:rsidRDefault="009C57A9" w:rsidP="00DE3253">
            <w:pPr>
              <w:rPr>
                <w:rFonts w:asciiTheme="minorHAnsi" w:hAnsiTheme="minorHAnsi" w:cs="Arial"/>
                <w:b/>
                <w:color w:val="CC0000"/>
                <w:sz w:val="40"/>
                <w:szCs w:val="40"/>
              </w:rPr>
            </w:pPr>
          </w:p>
        </w:tc>
      </w:tr>
      <w:tr w:rsidR="009C57A9" w:rsidRPr="009C57A9" w:rsidTr="0011740D">
        <w:trPr>
          <w:trHeight w:val="412"/>
          <w:jc w:val="center"/>
        </w:trPr>
        <w:tc>
          <w:tcPr>
            <w:tcW w:w="2111" w:type="dxa"/>
            <w:shd w:val="clear" w:color="auto" w:fill="FFCC00"/>
            <w:vAlign w:val="center"/>
          </w:tcPr>
          <w:p w:rsidR="009C57A9" w:rsidRPr="009C57A9" w:rsidRDefault="009C57A9" w:rsidP="00DE3253">
            <w:pPr>
              <w:pStyle w:val="Header"/>
              <w:tabs>
                <w:tab w:val="clear" w:pos="4320"/>
                <w:tab w:val="clear" w:pos="8640"/>
              </w:tabs>
              <w:jc w:val="both"/>
              <w:rPr>
                <w:rFonts w:asciiTheme="minorHAnsi" w:hAnsiTheme="minorHAnsi" w:cs="Arial"/>
                <w:b/>
                <w:sz w:val="22"/>
                <w:szCs w:val="22"/>
              </w:rPr>
            </w:pPr>
            <w:r w:rsidRPr="009C57A9">
              <w:rPr>
                <w:rFonts w:asciiTheme="minorHAnsi" w:hAnsiTheme="minorHAnsi" w:cs="Arial"/>
                <w:b/>
                <w:sz w:val="22"/>
                <w:szCs w:val="22"/>
              </w:rPr>
              <w:t>Closing Date</w:t>
            </w:r>
          </w:p>
        </w:tc>
        <w:tc>
          <w:tcPr>
            <w:tcW w:w="8265" w:type="dxa"/>
            <w:gridSpan w:val="3"/>
            <w:shd w:val="clear" w:color="auto" w:fill="FFCC00"/>
            <w:vAlign w:val="center"/>
          </w:tcPr>
          <w:p w:rsidR="009C57A9" w:rsidRPr="00AD2946" w:rsidRDefault="0011740D" w:rsidP="00AD2946">
            <w:pPr>
              <w:pStyle w:val="Header"/>
              <w:tabs>
                <w:tab w:val="clear" w:pos="4320"/>
                <w:tab w:val="clear" w:pos="8640"/>
              </w:tabs>
              <w:jc w:val="both"/>
            </w:pPr>
            <w:r>
              <w:rPr>
                <w:rFonts w:asciiTheme="minorHAnsi" w:hAnsiTheme="minorHAnsi" w:cs="Arial"/>
                <w:b/>
                <w:sz w:val="22"/>
                <w:szCs w:val="22"/>
              </w:rPr>
              <w:t>16</w:t>
            </w:r>
            <w:r w:rsidRPr="0011740D">
              <w:rPr>
                <w:rFonts w:asciiTheme="minorHAnsi" w:hAnsiTheme="minorHAnsi" w:cs="Arial"/>
                <w:b/>
                <w:sz w:val="22"/>
                <w:szCs w:val="22"/>
                <w:vertAlign w:val="superscript"/>
              </w:rPr>
              <w:t>th</w:t>
            </w:r>
            <w:r>
              <w:rPr>
                <w:rFonts w:asciiTheme="minorHAnsi" w:hAnsiTheme="minorHAnsi" w:cs="Arial"/>
                <w:b/>
                <w:sz w:val="22"/>
                <w:szCs w:val="22"/>
              </w:rPr>
              <w:t xml:space="preserve"> May 2014</w:t>
            </w:r>
          </w:p>
        </w:tc>
      </w:tr>
      <w:tr w:rsidR="00E6775E" w:rsidRPr="009C57A9" w:rsidTr="0011740D">
        <w:trPr>
          <w:trHeight w:val="412"/>
          <w:jc w:val="center"/>
        </w:trPr>
        <w:tc>
          <w:tcPr>
            <w:tcW w:w="2111" w:type="dxa"/>
            <w:shd w:val="clear" w:color="auto" w:fill="FFCC00"/>
            <w:vAlign w:val="center"/>
          </w:tcPr>
          <w:p w:rsidR="00E6775E" w:rsidRPr="009C57A9" w:rsidRDefault="00E6775E" w:rsidP="00DE3253">
            <w:pPr>
              <w:pStyle w:val="Header"/>
              <w:tabs>
                <w:tab w:val="clear" w:pos="4320"/>
                <w:tab w:val="clear" w:pos="8640"/>
              </w:tabs>
              <w:jc w:val="both"/>
              <w:rPr>
                <w:rFonts w:asciiTheme="minorHAnsi" w:hAnsiTheme="minorHAnsi" w:cs="Arial"/>
                <w:b/>
                <w:sz w:val="22"/>
                <w:szCs w:val="22"/>
              </w:rPr>
            </w:pPr>
            <w:r>
              <w:rPr>
                <w:rFonts w:asciiTheme="minorHAnsi" w:hAnsiTheme="minorHAnsi" w:cs="Arial"/>
                <w:b/>
                <w:sz w:val="22"/>
                <w:szCs w:val="22"/>
              </w:rPr>
              <w:t>Assessment Centre</w:t>
            </w:r>
          </w:p>
        </w:tc>
        <w:tc>
          <w:tcPr>
            <w:tcW w:w="8265" w:type="dxa"/>
            <w:gridSpan w:val="3"/>
            <w:shd w:val="clear" w:color="auto" w:fill="FFCC00"/>
            <w:vAlign w:val="center"/>
          </w:tcPr>
          <w:p w:rsidR="00E6775E" w:rsidRDefault="00E6775E" w:rsidP="00AD2946">
            <w:pPr>
              <w:pStyle w:val="Header"/>
              <w:tabs>
                <w:tab w:val="clear" w:pos="4320"/>
                <w:tab w:val="clear" w:pos="8640"/>
              </w:tabs>
              <w:jc w:val="both"/>
              <w:rPr>
                <w:rFonts w:asciiTheme="minorHAnsi" w:hAnsiTheme="minorHAnsi" w:cs="Arial"/>
                <w:b/>
                <w:sz w:val="22"/>
                <w:szCs w:val="22"/>
              </w:rPr>
            </w:pPr>
            <w:r>
              <w:rPr>
                <w:rFonts w:asciiTheme="minorHAnsi" w:hAnsiTheme="minorHAnsi" w:cs="Arial"/>
                <w:b/>
                <w:sz w:val="22"/>
                <w:szCs w:val="22"/>
              </w:rPr>
              <w:t>12</w:t>
            </w:r>
            <w:r w:rsidRPr="00E6775E">
              <w:rPr>
                <w:rFonts w:asciiTheme="minorHAnsi" w:hAnsiTheme="minorHAnsi" w:cs="Arial"/>
                <w:b/>
                <w:sz w:val="22"/>
                <w:szCs w:val="22"/>
                <w:vertAlign w:val="superscript"/>
              </w:rPr>
              <w:t>th</w:t>
            </w:r>
            <w:r>
              <w:rPr>
                <w:rFonts w:asciiTheme="minorHAnsi" w:hAnsiTheme="minorHAnsi" w:cs="Arial"/>
                <w:b/>
                <w:sz w:val="22"/>
                <w:szCs w:val="22"/>
              </w:rPr>
              <w:t xml:space="preserve"> June 2014</w:t>
            </w:r>
          </w:p>
        </w:tc>
      </w:tr>
    </w:tbl>
    <w:p w:rsidR="00C91F61" w:rsidRPr="009C57A9" w:rsidRDefault="00C91F61" w:rsidP="00E95AA2">
      <w:pPr>
        <w:rPr>
          <w:rFonts w:asciiTheme="minorHAnsi" w:hAnsiTheme="minorHAnsi"/>
        </w:rPr>
      </w:pPr>
    </w:p>
    <w:sectPr w:rsidR="00C91F61" w:rsidRPr="009C57A9" w:rsidSect="009C57A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317F4"/>
    <w:multiLevelType w:val="hybridMultilevel"/>
    <w:tmpl w:val="3800A760"/>
    <w:lvl w:ilvl="0" w:tplc="325A168C">
      <w:numFmt w:val="bullet"/>
      <w:lvlText w:val=""/>
      <w:lvlJc w:val="left"/>
      <w:pPr>
        <w:tabs>
          <w:tab w:val="num" w:pos="720"/>
        </w:tabs>
        <w:ind w:left="720" w:hanging="360"/>
      </w:pPr>
      <w:rPr>
        <w:rFonts w:ascii="Symbol" w:hAnsi="Symbol" w:hint="default"/>
        <w:color w:val="CC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47F42424"/>
    <w:multiLevelType w:val="hybridMultilevel"/>
    <w:tmpl w:val="57C826D4"/>
    <w:lvl w:ilvl="0" w:tplc="325A168C">
      <w:numFmt w:val="bullet"/>
      <w:lvlText w:val=""/>
      <w:lvlJc w:val="left"/>
      <w:pPr>
        <w:tabs>
          <w:tab w:val="num" w:pos="360"/>
        </w:tabs>
        <w:ind w:left="360" w:hanging="360"/>
      </w:pPr>
      <w:rPr>
        <w:rFonts w:ascii="Symbol" w:hAnsi="Symbol" w:hint="default"/>
        <w:color w:val="CC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7A9"/>
    <w:rsid w:val="000A39DD"/>
    <w:rsid w:val="0011740D"/>
    <w:rsid w:val="0026772D"/>
    <w:rsid w:val="00566F4C"/>
    <w:rsid w:val="00627776"/>
    <w:rsid w:val="009C57A9"/>
    <w:rsid w:val="00AD2946"/>
    <w:rsid w:val="00C91F61"/>
    <w:rsid w:val="00E6775E"/>
    <w:rsid w:val="00E95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7A9"/>
    <w:rPr>
      <w:rFonts w:ascii="Tahoma" w:hAnsi="Tahoma" w:cs="Tahoma"/>
      <w:sz w:val="16"/>
      <w:szCs w:val="16"/>
    </w:rPr>
  </w:style>
  <w:style w:type="character" w:customStyle="1" w:styleId="BalloonTextChar">
    <w:name w:val="Balloon Text Char"/>
    <w:basedOn w:val="DefaultParagraphFont"/>
    <w:link w:val="BalloonText"/>
    <w:uiPriority w:val="99"/>
    <w:semiHidden/>
    <w:rsid w:val="009C57A9"/>
    <w:rPr>
      <w:rFonts w:ascii="Tahoma" w:hAnsi="Tahoma" w:cs="Tahoma"/>
      <w:sz w:val="16"/>
      <w:szCs w:val="16"/>
    </w:rPr>
  </w:style>
  <w:style w:type="paragraph" w:styleId="Header">
    <w:name w:val="header"/>
    <w:basedOn w:val="Normal"/>
    <w:link w:val="HeaderChar"/>
    <w:rsid w:val="009C57A9"/>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9C57A9"/>
    <w:rPr>
      <w:rFonts w:ascii="Times" w:eastAsia="Times" w:hAnsi="Times" w:cs="Times New Roman"/>
      <w:sz w:val="24"/>
      <w:szCs w:val="20"/>
      <w:lang w:val="en-US" w:eastAsia="en-GB"/>
    </w:rPr>
  </w:style>
  <w:style w:type="character" w:styleId="Hyperlink">
    <w:name w:val="Hyperlink"/>
    <w:rsid w:val="009C57A9"/>
    <w:rPr>
      <w:rFonts w:ascii="Arial" w:hAnsi="Arial" w:cs="Arial" w:hint="default"/>
      <w:color w:val="000000"/>
      <w:u w:val="single"/>
    </w:rPr>
  </w:style>
  <w:style w:type="character" w:styleId="FollowedHyperlink">
    <w:name w:val="FollowedHyperlink"/>
    <w:basedOn w:val="DefaultParagraphFont"/>
    <w:uiPriority w:val="99"/>
    <w:semiHidden/>
    <w:unhideWhenUsed/>
    <w:rsid w:val="00AD294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57A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57A9"/>
    <w:rPr>
      <w:rFonts w:ascii="Tahoma" w:hAnsi="Tahoma" w:cs="Tahoma"/>
      <w:sz w:val="16"/>
      <w:szCs w:val="16"/>
    </w:rPr>
  </w:style>
  <w:style w:type="character" w:customStyle="1" w:styleId="BalloonTextChar">
    <w:name w:val="Balloon Text Char"/>
    <w:basedOn w:val="DefaultParagraphFont"/>
    <w:link w:val="BalloonText"/>
    <w:uiPriority w:val="99"/>
    <w:semiHidden/>
    <w:rsid w:val="009C57A9"/>
    <w:rPr>
      <w:rFonts w:ascii="Tahoma" w:hAnsi="Tahoma" w:cs="Tahoma"/>
      <w:sz w:val="16"/>
      <w:szCs w:val="16"/>
    </w:rPr>
  </w:style>
  <w:style w:type="paragraph" w:styleId="Header">
    <w:name w:val="header"/>
    <w:basedOn w:val="Normal"/>
    <w:link w:val="HeaderChar"/>
    <w:rsid w:val="009C57A9"/>
    <w:pPr>
      <w:tabs>
        <w:tab w:val="center" w:pos="4320"/>
        <w:tab w:val="right" w:pos="8640"/>
      </w:tabs>
    </w:pPr>
    <w:rPr>
      <w:rFonts w:ascii="Times" w:eastAsia="Times" w:hAnsi="Times"/>
      <w:szCs w:val="20"/>
      <w:lang w:val="en-US"/>
    </w:rPr>
  </w:style>
  <w:style w:type="character" w:customStyle="1" w:styleId="HeaderChar">
    <w:name w:val="Header Char"/>
    <w:basedOn w:val="DefaultParagraphFont"/>
    <w:link w:val="Header"/>
    <w:rsid w:val="009C57A9"/>
    <w:rPr>
      <w:rFonts w:ascii="Times" w:eastAsia="Times" w:hAnsi="Times" w:cs="Times New Roman"/>
      <w:sz w:val="24"/>
      <w:szCs w:val="20"/>
      <w:lang w:val="en-US" w:eastAsia="en-GB"/>
    </w:rPr>
  </w:style>
  <w:style w:type="character" w:styleId="Hyperlink">
    <w:name w:val="Hyperlink"/>
    <w:rsid w:val="009C57A9"/>
    <w:rPr>
      <w:rFonts w:ascii="Arial" w:hAnsi="Arial" w:cs="Arial" w:hint="default"/>
      <w:color w:val="000000"/>
      <w:u w:val="single"/>
    </w:rPr>
  </w:style>
  <w:style w:type="character" w:styleId="FollowedHyperlink">
    <w:name w:val="FollowedHyperlink"/>
    <w:basedOn w:val="DefaultParagraphFont"/>
    <w:uiPriority w:val="99"/>
    <w:semiHidden/>
    <w:unhideWhenUsed/>
    <w:rsid w:val="00AD2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l.gtios.com/Vacancy/Search/PreLogonSearchPostedCriteria.asp" TargetMode="External"/><Relationship Id="rId3" Type="http://schemas.microsoft.com/office/2007/relationships/stylesWithEffects" Target="stylesWithEffects.xml"/><Relationship Id="rId7" Type="http://schemas.openxmlformats.org/officeDocument/2006/relationships/hyperlink" Target="http://www.dhl-graduat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DHL</Company>
  <LinksUpToDate>false</LinksUpToDate>
  <CharactersWithSpaces>2830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Chrissie Gray (DHL UK)</dc:creator>
  <cp:lastModifiedBy>Kristina Sykorova (DHL SK)</cp:lastModifiedBy>
  <cp:revision>2</cp:revision>
  <dcterms:created xsi:type="dcterms:W3CDTF">2014-03-27T08:22:00Z</dcterms:created>
  <dcterms:modified xsi:type="dcterms:W3CDTF">2014-03-27T08:22:00Z</dcterms:modified>
</cp:coreProperties>
</file>